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A73" w:rsidRPr="00775A73" w:rsidRDefault="00775A73" w:rsidP="00775A73">
      <w:pPr>
        <w:widowControl/>
        <w:shd w:val="clear" w:color="auto" w:fill="FFFFFF"/>
        <w:wordWrap w:val="0"/>
        <w:spacing w:line="540" w:lineRule="atLeast"/>
        <w:jc w:val="center"/>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w:t>
      </w:r>
      <w:r w:rsidRPr="00775A73">
        <w:rPr>
          <w:rFonts w:ascii="微软雅黑" w:eastAsia="微软雅黑" w:hAnsi="微软雅黑" w:cs="宋体" w:hint="eastAsia"/>
          <w:b/>
          <w:bCs/>
          <w:color w:val="424242"/>
          <w:kern w:val="0"/>
          <w:sz w:val="27"/>
          <w:szCs w:val="27"/>
        </w:rPr>
        <w:t>对外投资合作“双随机、一公开”监管工作细则（试行）</w:t>
      </w:r>
      <w:bookmarkStart w:id="0" w:name="_GoBack"/>
      <w:bookmarkEnd w:id="0"/>
      <w:r w:rsidRPr="00775A73">
        <w:rPr>
          <w:rFonts w:ascii="微软雅黑" w:eastAsia="微软雅黑" w:hAnsi="微软雅黑" w:cs="宋体" w:hint="eastAsia"/>
          <w:b/>
          <w:bCs/>
          <w:color w:val="424242"/>
          <w:kern w:val="0"/>
          <w:sz w:val="27"/>
          <w:szCs w:val="27"/>
        </w:rPr>
        <w:br/>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第一条 为深化“放管服”改革，进一步完善对外投资合作管理体制，规范对外投资合作事中事后监管行为，全面推行“双随机、</w:t>
      </w:r>
      <w:proofErr w:type="gramStart"/>
      <w:r w:rsidRPr="00775A73">
        <w:rPr>
          <w:rFonts w:ascii="微软雅黑" w:eastAsia="微软雅黑" w:hAnsi="微软雅黑" w:cs="宋体" w:hint="eastAsia"/>
          <w:color w:val="424242"/>
          <w:kern w:val="0"/>
          <w:sz w:val="27"/>
          <w:szCs w:val="27"/>
        </w:rPr>
        <w:t>一</w:t>
      </w:r>
      <w:proofErr w:type="gramEnd"/>
      <w:r w:rsidRPr="00775A73">
        <w:rPr>
          <w:rFonts w:ascii="微软雅黑" w:eastAsia="微软雅黑" w:hAnsi="微软雅黑" w:cs="宋体" w:hint="eastAsia"/>
          <w:color w:val="424242"/>
          <w:kern w:val="0"/>
          <w:sz w:val="27"/>
          <w:szCs w:val="27"/>
        </w:rPr>
        <w:t>公开”监管工作，根据</w:t>
      </w:r>
      <w:hyperlink r:id="rId4" w:tgtFrame="_self" w:tooltip="《对外承包工程管理条例》（国务院令第527号）、《对外劳务合作管理条例》（国务院令第620号）、《境外投资管理办法》（商务部令2014年第3号）" w:history="1">
        <w:r w:rsidRPr="00775A73">
          <w:rPr>
            <w:rFonts w:ascii="微软雅黑" w:eastAsia="微软雅黑" w:hAnsi="微软雅黑" w:cs="宋体" w:hint="eastAsia"/>
            <w:color w:val="2D66A5"/>
            <w:kern w:val="0"/>
            <w:sz w:val="27"/>
            <w:szCs w:val="27"/>
            <w:u w:val="single"/>
          </w:rPr>
          <w:t>《对外承包工程管理条例》（国务院令第527号）、《对外劳务合作管理条例》（国务院令第620号）、《境外投资管理办法》（商务部令2014年第3号）</w:t>
        </w:r>
      </w:hyperlink>
      <w:r w:rsidRPr="00775A73">
        <w:rPr>
          <w:rFonts w:ascii="微软雅黑" w:eastAsia="微软雅黑" w:hAnsi="微软雅黑" w:cs="宋体" w:hint="eastAsia"/>
          <w:color w:val="424242"/>
          <w:kern w:val="0"/>
          <w:sz w:val="27"/>
          <w:szCs w:val="27"/>
        </w:rPr>
        <w:t>等有关规定，制定本细则。</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第二条 商务部负责全国对外投资合作活动的监督检查。各省、自治区、直辖市、计划单列市、新疆生产建设兵团商务主管部门(以下简称省级商务主管部门）负责本地区对外投资合作活动的监督检查。商务部和省级商务主管部门（以下简称商务主管部门）开展对外投资合作活动监督检查工作时，适用本细则。</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第三条 本细则所称“双随机、</w:t>
      </w:r>
      <w:proofErr w:type="gramStart"/>
      <w:r w:rsidRPr="00775A73">
        <w:rPr>
          <w:rFonts w:ascii="微软雅黑" w:eastAsia="微软雅黑" w:hAnsi="微软雅黑" w:cs="宋体" w:hint="eastAsia"/>
          <w:color w:val="424242"/>
          <w:kern w:val="0"/>
          <w:sz w:val="27"/>
          <w:szCs w:val="27"/>
        </w:rPr>
        <w:t>一</w:t>
      </w:r>
      <w:proofErr w:type="gramEnd"/>
      <w:r w:rsidRPr="00775A73">
        <w:rPr>
          <w:rFonts w:ascii="微软雅黑" w:eastAsia="微软雅黑" w:hAnsi="微软雅黑" w:cs="宋体" w:hint="eastAsia"/>
          <w:color w:val="424242"/>
          <w:kern w:val="0"/>
          <w:sz w:val="27"/>
          <w:szCs w:val="27"/>
        </w:rPr>
        <w:t>公开”监管工作，是指商务主管部门开展对外投资合作监督检查工作时，随机抽取检查对象、随机选派执法检查人员，及时公开检查情况和查处结果。</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第四条 商务主管部门开展“双随机、</w:t>
      </w:r>
      <w:proofErr w:type="gramStart"/>
      <w:r w:rsidRPr="00775A73">
        <w:rPr>
          <w:rFonts w:ascii="微软雅黑" w:eastAsia="微软雅黑" w:hAnsi="微软雅黑" w:cs="宋体" w:hint="eastAsia"/>
          <w:color w:val="424242"/>
          <w:kern w:val="0"/>
          <w:sz w:val="27"/>
          <w:szCs w:val="27"/>
        </w:rPr>
        <w:t>一</w:t>
      </w:r>
      <w:proofErr w:type="gramEnd"/>
      <w:r w:rsidRPr="00775A73">
        <w:rPr>
          <w:rFonts w:ascii="微软雅黑" w:eastAsia="微软雅黑" w:hAnsi="微软雅黑" w:cs="宋体" w:hint="eastAsia"/>
          <w:color w:val="424242"/>
          <w:kern w:val="0"/>
          <w:sz w:val="27"/>
          <w:szCs w:val="27"/>
        </w:rPr>
        <w:t>公开”监管工作应坚持依法依规、公正高效、公开透明的原则。</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第五条 商务主管部门开展“双随机、</w:t>
      </w:r>
      <w:proofErr w:type="gramStart"/>
      <w:r w:rsidRPr="00775A73">
        <w:rPr>
          <w:rFonts w:ascii="微软雅黑" w:eastAsia="微软雅黑" w:hAnsi="微软雅黑" w:cs="宋体" w:hint="eastAsia"/>
          <w:color w:val="424242"/>
          <w:kern w:val="0"/>
          <w:sz w:val="27"/>
          <w:szCs w:val="27"/>
        </w:rPr>
        <w:t>一</w:t>
      </w:r>
      <w:proofErr w:type="gramEnd"/>
      <w:r w:rsidRPr="00775A73">
        <w:rPr>
          <w:rFonts w:ascii="微软雅黑" w:eastAsia="微软雅黑" w:hAnsi="微软雅黑" w:cs="宋体" w:hint="eastAsia"/>
          <w:color w:val="424242"/>
          <w:kern w:val="0"/>
          <w:sz w:val="27"/>
          <w:szCs w:val="27"/>
        </w:rPr>
        <w:t>公开”监管工作实行全程电子化管理，做到检查全程留痕。商务部在“业务系统统一平台”（网址</w:t>
      </w:r>
      <w:hyperlink w:history="1">
        <w:r w:rsidRPr="00775A73">
          <w:rPr>
            <w:rFonts w:ascii="微软雅黑" w:eastAsia="微软雅黑" w:hAnsi="微软雅黑" w:cs="宋体" w:hint="eastAsia"/>
            <w:color w:val="000000"/>
            <w:kern w:val="0"/>
            <w:sz w:val="27"/>
            <w:szCs w:val="27"/>
            <w:u w:val="single"/>
          </w:rPr>
          <w:t>http://emanage.mofcom.gov.cn）中建立“双随机、一公开”子应用（以下简称应用）。该应用包括执法检查人员名录库和检查对象名录库。</w:t>
        </w:r>
      </w:hyperlink>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第六条 执法检查人员原则上为商务主管部门正式在编工作人员，以主管对外投资合作业务人员为主，可根据工作需要适当调整。执法检查人员名录库由商务部和省级商务主管部门分别负责录入、维护和管理。</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第七条 检查对象按照分级管理原则确定。检查对象为：经备案（核准）设立的境外企业，经备案（立项）的对外承包工程项目，取得对外劳务合作经营资格的企业。检查对象名录库由上述业务办理记录数据库生成，并根据实际情况进行动态调整。</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第八条 商务部根据法律法规规章修订情况和工作实际，制定并动态调整对外投资合作“双随机、</w:t>
      </w:r>
      <w:proofErr w:type="gramStart"/>
      <w:r w:rsidRPr="00775A73">
        <w:rPr>
          <w:rFonts w:ascii="微软雅黑" w:eastAsia="微软雅黑" w:hAnsi="微软雅黑" w:cs="宋体" w:hint="eastAsia"/>
          <w:color w:val="424242"/>
          <w:kern w:val="0"/>
          <w:sz w:val="27"/>
          <w:szCs w:val="27"/>
        </w:rPr>
        <w:t>一</w:t>
      </w:r>
      <w:proofErr w:type="gramEnd"/>
      <w:r w:rsidRPr="00775A73">
        <w:rPr>
          <w:rFonts w:ascii="微软雅黑" w:eastAsia="微软雅黑" w:hAnsi="微软雅黑" w:cs="宋体" w:hint="eastAsia"/>
          <w:color w:val="424242"/>
          <w:kern w:val="0"/>
          <w:sz w:val="27"/>
          <w:szCs w:val="27"/>
        </w:rPr>
        <w:t>公开”检查事项清单（附后），并及时向社会公布。商务主管部门按照检查事项清单，对企业对外投资合作活动依法依规检查。</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第九条 实施检查前，商务主管部门通过应用从执法检查人员名录库中随机抽取检查人员，从检查对象名录库中随机抽取被检查的企业或项目，抽取过程在应用中全程记录。对于随机抽取的企业或项目，商务主管部门要进行初步筛查，如被抽取的企业或项目出现未投资、未中标等情况，商务主管部门应将其从检查对象名单中剔除后补充抽取。初步筛查发现企业未按规定履行报告义务、修改状态信息的，应要求企业整改。</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第十条 商务主管部门可根据实际情况合理确定检查频次和比例。检查频次每年不少于1次，原则上境外企业抽取比例不低于检查对象名录库中企业总数的2%；对外承包工程项目抽取比例不低于检查对象名录库中项目总数的2%；对外劳务合作企业抽取比例不低于检查对象名录库中企业总数的6%。为提高抽查工作覆盖面，避免检查对象被多次重复检查，凡经检查并在系统内标注为合格的企业和项目，从被检查时间起计算，原则上2年内不重复抽取。</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第十一条 商务主管部门可结合工作需要釆取定向抽查办法，可在选定行业、类型、区域、规模的企业和项目范围内随机抽取进行检查，对于出现问题或有明显问题迹象、线索的企业和项目，应当进行定向检查。</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第十二条 检查工作实行组长负责制，同一检查组的执法人员不得少于3人，从执法检查人员名录库中随机抽取，其中，组长应由处级及以上人员担任，检查组成员半数以上应有对外投资合作业务背景。如被抽取的执法检查人员无法满足上述要求或无法参与检查工作，可在执法检查人员名录库中抽取相关人员递补。鉴于检查工作具有较强的专业性，要加强对检查人员的业务培训。</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第十三条 检查工作主要采取书面审核的方式进行，检查组可通过适当方式向驻外使（领）馆经商机构核实相关情况，必要时也可现场检查，现场检查人员应出示行政执法证件。</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第十四条 检查开始后，商务主管部门通过应用向检查对象发送《检查告知函》。检查对象收到告知函后，应及时登录应用予以确认，根据检查事项清单提供相关备查材料，并指定专人负责配合检查工作，做好报送材料、沟通反馈、整改落实等工作。</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第十五条 初步检查发现有问题的，商务主管部门通过应用向检查对象发送《初步检查结果沟通函》，将初步检查发现的问题告知检查对象。检查对象收到沟通函后，如有不同意见，应通过应用提交书面材料加以说明，逾期不反馈视为无不同意见。</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第十六条 检查完成后，商务主管部门通过应用向检查对象发送《检查结果告知函》，</w:t>
      </w:r>
      <w:proofErr w:type="gramStart"/>
      <w:r w:rsidRPr="00775A73">
        <w:rPr>
          <w:rFonts w:ascii="微软雅黑" w:eastAsia="微软雅黑" w:hAnsi="微软雅黑" w:cs="宋体" w:hint="eastAsia"/>
          <w:color w:val="424242"/>
          <w:kern w:val="0"/>
          <w:sz w:val="27"/>
          <w:szCs w:val="27"/>
        </w:rPr>
        <w:t>告知函将在</w:t>
      </w:r>
      <w:proofErr w:type="gramEnd"/>
      <w:r w:rsidRPr="00775A73">
        <w:rPr>
          <w:rFonts w:ascii="微软雅黑" w:eastAsia="微软雅黑" w:hAnsi="微软雅黑" w:cs="宋体" w:hint="eastAsia"/>
          <w:color w:val="424242"/>
          <w:kern w:val="0"/>
          <w:sz w:val="27"/>
          <w:szCs w:val="27"/>
        </w:rPr>
        <w:t>“走出去”公共服务平台上</w:t>
      </w:r>
      <w:hyperlink r:id="rId5" w:history="1">
        <w:r w:rsidRPr="00775A73">
          <w:rPr>
            <w:rFonts w:ascii="微软雅黑" w:eastAsia="微软雅黑" w:hAnsi="微软雅黑" w:cs="宋体" w:hint="eastAsia"/>
            <w:color w:val="2D66A5"/>
            <w:kern w:val="0"/>
            <w:sz w:val="27"/>
            <w:szCs w:val="27"/>
            <w:u w:val="single"/>
          </w:rPr>
          <w:t>对外公布</w:t>
        </w:r>
      </w:hyperlink>
      <w:r w:rsidRPr="00775A73">
        <w:rPr>
          <w:rFonts w:ascii="微软雅黑" w:eastAsia="微软雅黑" w:hAnsi="微软雅黑" w:cs="宋体" w:hint="eastAsia"/>
          <w:color w:val="424242"/>
          <w:kern w:val="0"/>
          <w:sz w:val="27"/>
          <w:szCs w:val="27"/>
        </w:rPr>
        <w:t>。检查对象收到告知函后，按要求整改并将整改情况通过应用反馈商务主管部门。整改完成的，商务主管部门在应用上标注整改完成，逾期整改不到位的，按规定将相关问题纳入“对外投资合作不良信用记录”，并视情通报相关部门及行业组织，作为采取联合惩戒措施、评判企业信用等级、落实行业自律的参考。检查发现相关问题线索需进行行政处罚或移交其他部门的，依法依规处理。</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第十七条 任何单位和个人对公布的检查结果有异议的，可以通过书面形式向实施检查的商务主管部门提出，并提供相关证明材料。经核实，情况属实的，由商务主管部门更正相关信息后重新公布。</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第十八条 省级商务主管部门应及时就检查工作进行总结，撰写工作报告并通过应用或其他方式报商务部（合作司）。主要内容包括检查工作基本情况、检查发现的主要问题、督促企业整改落实情况、改进工作的意见建议等。商务部将视情通报有关情况。</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第十九条 商务主管部门开展“双随机、</w:t>
      </w:r>
      <w:proofErr w:type="gramStart"/>
      <w:r w:rsidRPr="00775A73">
        <w:rPr>
          <w:rFonts w:ascii="微软雅黑" w:eastAsia="微软雅黑" w:hAnsi="微软雅黑" w:cs="宋体" w:hint="eastAsia"/>
          <w:color w:val="424242"/>
          <w:kern w:val="0"/>
          <w:sz w:val="27"/>
          <w:szCs w:val="27"/>
        </w:rPr>
        <w:t>一</w:t>
      </w:r>
      <w:proofErr w:type="gramEnd"/>
      <w:r w:rsidRPr="00775A73">
        <w:rPr>
          <w:rFonts w:ascii="微软雅黑" w:eastAsia="微软雅黑" w:hAnsi="微软雅黑" w:cs="宋体" w:hint="eastAsia"/>
          <w:color w:val="424242"/>
          <w:kern w:val="0"/>
          <w:sz w:val="27"/>
          <w:szCs w:val="27"/>
        </w:rPr>
        <w:t>公开”检查，必须严格遵守保密制度及本细则规定的相关流程，严格贯彻落实中央八项规定</w:t>
      </w:r>
      <w:r w:rsidRPr="00775A73">
        <w:rPr>
          <w:rFonts w:ascii="微软雅黑" w:eastAsia="微软雅黑" w:hAnsi="微软雅黑" w:cs="宋体" w:hint="eastAsia"/>
          <w:color w:val="424242"/>
          <w:kern w:val="0"/>
          <w:sz w:val="27"/>
          <w:szCs w:val="27"/>
        </w:rPr>
        <w:lastRenderedPageBreak/>
        <w:t>及其实施细则精神，廉洁自律，规范操作，如实记录检查情况，客观报告检查结果。</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第二十条 本细则自公布之日起30日后试行，有效期5年，由商务部（合作司）负责解释，原《对外投资合作“双随机、一公开”监管工作细则（试行）》（</w:t>
      </w:r>
      <w:proofErr w:type="gramStart"/>
      <w:r w:rsidRPr="00775A73">
        <w:rPr>
          <w:rFonts w:ascii="微软雅黑" w:eastAsia="微软雅黑" w:hAnsi="微软雅黑" w:cs="宋体" w:hint="eastAsia"/>
          <w:color w:val="424242"/>
          <w:kern w:val="0"/>
          <w:sz w:val="27"/>
          <w:szCs w:val="27"/>
        </w:rPr>
        <w:t>商办合函〔2017〕</w:t>
      </w:r>
      <w:proofErr w:type="gramEnd"/>
      <w:r w:rsidRPr="00775A73">
        <w:rPr>
          <w:rFonts w:ascii="微软雅黑" w:eastAsia="微软雅黑" w:hAnsi="微软雅黑" w:cs="宋体" w:hint="eastAsia"/>
          <w:color w:val="424242"/>
          <w:kern w:val="0"/>
          <w:sz w:val="27"/>
          <w:szCs w:val="27"/>
        </w:rPr>
        <w:t>426号）同时废止。</w:t>
      </w:r>
    </w:p>
    <w:p w:rsidR="00775A73" w:rsidRPr="00775A73" w:rsidRDefault="00775A73" w:rsidP="00775A73">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p>
    <w:p w:rsidR="00775A73" w:rsidRPr="00775A73" w:rsidRDefault="00775A73" w:rsidP="00775A73">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775A73">
        <w:rPr>
          <w:rFonts w:ascii="微软雅黑" w:eastAsia="微软雅黑" w:hAnsi="微软雅黑" w:cs="宋体" w:hint="eastAsia"/>
          <w:color w:val="424242"/>
          <w:kern w:val="0"/>
          <w:sz w:val="27"/>
          <w:szCs w:val="27"/>
        </w:rPr>
        <w:t xml:space="preserve">　　附件：对外投资合作检查事项清单</w:t>
      </w:r>
    </w:p>
    <w:tbl>
      <w:tblPr>
        <w:tblW w:w="5000" w:type="pct"/>
        <w:tblCellMar>
          <w:left w:w="0" w:type="dxa"/>
          <w:right w:w="0" w:type="dxa"/>
        </w:tblCellMar>
        <w:tblLook w:val="04A0" w:firstRow="1" w:lastRow="0" w:firstColumn="1" w:lastColumn="0" w:noHBand="0" w:noVBand="1"/>
      </w:tblPr>
      <w:tblGrid>
        <w:gridCol w:w="451"/>
        <w:gridCol w:w="464"/>
        <w:gridCol w:w="666"/>
        <w:gridCol w:w="764"/>
        <w:gridCol w:w="5941"/>
      </w:tblGrid>
      <w:tr w:rsidR="00775A73" w:rsidRPr="00775A73" w:rsidTr="00775A73">
        <w:tc>
          <w:tcPr>
            <w:tcW w:w="236" w:type="pct"/>
            <w:tcBorders>
              <w:top w:val="single" w:sz="8" w:space="0" w:color="000000"/>
              <w:left w:val="single" w:sz="8" w:space="0" w:color="000000"/>
              <w:bottom w:val="nil"/>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b/>
                <w:bCs/>
                <w:color w:val="424242"/>
                <w:kern w:val="0"/>
                <w:sz w:val="15"/>
                <w:szCs w:val="15"/>
              </w:rPr>
              <w:t>序号</w:t>
            </w:r>
            <w:r w:rsidRPr="00775A73">
              <w:rPr>
                <w:rFonts w:ascii="宋体" w:eastAsia="宋体" w:hAnsi="宋体" w:cs="宋体" w:hint="eastAsia"/>
                <w:color w:val="424242"/>
                <w:kern w:val="0"/>
                <w:sz w:val="15"/>
                <w:szCs w:val="15"/>
              </w:rPr>
              <w:t xml:space="preserve"> </w:t>
            </w:r>
          </w:p>
        </w:tc>
        <w:tc>
          <w:tcPr>
            <w:tcW w:w="289" w:type="pct"/>
            <w:tcBorders>
              <w:top w:val="single" w:sz="8" w:space="0" w:color="000000"/>
              <w:left w:val="single" w:sz="8" w:space="0" w:color="000000"/>
              <w:bottom w:val="nil"/>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b/>
                <w:bCs/>
                <w:color w:val="424242"/>
                <w:kern w:val="0"/>
                <w:sz w:val="15"/>
                <w:szCs w:val="15"/>
              </w:rPr>
              <w:t>事项名称</w:t>
            </w:r>
            <w:r w:rsidRPr="00775A73">
              <w:rPr>
                <w:rFonts w:ascii="宋体" w:eastAsia="宋体" w:hAnsi="宋体" w:cs="宋体" w:hint="eastAsia"/>
                <w:color w:val="424242"/>
                <w:kern w:val="0"/>
                <w:sz w:val="15"/>
                <w:szCs w:val="15"/>
              </w:rPr>
              <w:t xml:space="preserve"> </w:t>
            </w:r>
          </w:p>
        </w:tc>
        <w:tc>
          <w:tcPr>
            <w:tcW w:w="411" w:type="pct"/>
            <w:tcBorders>
              <w:top w:val="single" w:sz="8" w:space="0" w:color="000000"/>
              <w:left w:val="single" w:sz="8" w:space="0" w:color="000000"/>
              <w:bottom w:val="nil"/>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b/>
                <w:bCs/>
                <w:color w:val="424242"/>
                <w:kern w:val="0"/>
                <w:sz w:val="15"/>
                <w:szCs w:val="15"/>
              </w:rPr>
              <w:t>检查依据</w:t>
            </w:r>
            <w:r w:rsidRPr="00775A73">
              <w:rPr>
                <w:rFonts w:ascii="宋体" w:eastAsia="宋体" w:hAnsi="宋体" w:cs="宋体" w:hint="eastAsia"/>
                <w:color w:val="424242"/>
                <w:kern w:val="0"/>
                <w:sz w:val="15"/>
                <w:szCs w:val="15"/>
              </w:rPr>
              <w:t xml:space="preserve"> </w:t>
            </w:r>
          </w:p>
        </w:tc>
        <w:tc>
          <w:tcPr>
            <w:tcW w:w="4064" w:type="pct"/>
            <w:gridSpan w:val="2"/>
            <w:tcBorders>
              <w:top w:val="single" w:sz="8" w:space="0" w:color="000000"/>
              <w:left w:val="single" w:sz="8" w:space="0" w:color="000000"/>
              <w:bottom w:val="nil"/>
              <w:right w:val="single" w:sz="8" w:space="0" w:color="000000"/>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b/>
                <w:bCs/>
                <w:color w:val="424242"/>
                <w:kern w:val="0"/>
                <w:sz w:val="15"/>
                <w:szCs w:val="15"/>
              </w:rPr>
              <w:t>检查内容</w:t>
            </w:r>
            <w:r w:rsidRPr="00775A73">
              <w:rPr>
                <w:rFonts w:ascii="宋体" w:eastAsia="宋体" w:hAnsi="宋体" w:cs="宋体" w:hint="eastAsia"/>
                <w:color w:val="424242"/>
                <w:kern w:val="0"/>
                <w:sz w:val="15"/>
                <w:szCs w:val="15"/>
              </w:rPr>
              <w:t xml:space="preserve"> </w:t>
            </w:r>
          </w:p>
        </w:tc>
      </w:tr>
      <w:tr w:rsidR="00775A73" w:rsidRPr="00775A73" w:rsidTr="00775A73">
        <w:tc>
          <w:tcPr>
            <w:tcW w:w="236" w:type="pct"/>
            <w:vMerge w:val="restart"/>
            <w:tcBorders>
              <w:top w:val="single" w:sz="8" w:space="0" w:color="000000"/>
              <w:left w:val="single" w:sz="8" w:space="0" w:color="000000"/>
              <w:bottom w:val="single" w:sz="8" w:space="0" w:color="000000"/>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1 </w:t>
            </w:r>
          </w:p>
        </w:tc>
        <w:tc>
          <w:tcPr>
            <w:tcW w:w="289" w:type="pct"/>
            <w:vMerge w:val="restart"/>
            <w:tcBorders>
              <w:top w:val="single" w:sz="8" w:space="0" w:color="000000"/>
              <w:left w:val="single" w:sz="8" w:space="0" w:color="000000"/>
              <w:bottom w:val="single" w:sz="8" w:space="0" w:color="000000"/>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境外投资检查 </w:t>
            </w:r>
          </w:p>
        </w:tc>
        <w:tc>
          <w:tcPr>
            <w:tcW w:w="411" w:type="pct"/>
            <w:vMerge w:val="restart"/>
            <w:tcBorders>
              <w:top w:val="single" w:sz="8" w:space="0" w:color="000000"/>
              <w:left w:val="single" w:sz="8" w:space="0" w:color="000000"/>
              <w:bottom w:val="single" w:sz="8" w:space="0" w:color="000000"/>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《境外投资管理办法》（商务部令2014年第3号） </w:t>
            </w:r>
          </w:p>
        </w:tc>
        <w:tc>
          <w:tcPr>
            <w:tcW w:w="470" w:type="pct"/>
            <w:tcBorders>
              <w:top w:val="single" w:sz="8" w:space="0" w:color="000000"/>
              <w:left w:val="single" w:sz="8" w:space="0" w:color="000000"/>
              <w:bottom w:val="nil"/>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统筹推进境外疫情防控和生产经营情况 </w:t>
            </w:r>
          </w:p>
        </w:tc>
        <w:tc>
          <w:tcPr>
            <w:tcW w:w="3594" w:type="pct"/>
            <w:tcBorders>
              <w:top w:val="single" w:sz="8" w:space="0" w:color="000000"/>
              <w:left w:val="single" w:sz="8" w:space="0" w:color="000000"/>
              <w:bottom w:val="nil"/>
              <w:right w:val="single" w:sz="8" w:space="0" w:color="000000"/>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1. 境外疫情防控情况；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2. 是否发生聚集性感染事件，有关处理措施和处理结果；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3. 克服疫情影响保障生产经营情况。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（※疫情防控为阶段性工作，至疫情结束为止） </w:t>
            </w:r>
          </w:p>
        </w:tc>
      </w:tr>
      <w:tr w:rsidR="00775A73" w:rsidRPr="00775A73" w:rsidTr="00775A73">
        <w:tc>
          <w:tcPr>
            <w:tcW w:w="236" w:type="pct"/>
            <w:vMerge/>
            <w:tcBorders>
              <w:top w:val="single" w:sz="8" w:space="0" w:color="000000"/>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289" w:type="pct"/>
            <w:vMerge/>
            <w:tcBorders>
              <w:top w:val="single" w:sz="8" w:space="0" w:color="000000"/>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411" w:type="pct"/>
            <w:vMerge/>
            <w:tcBorders>
              <w:top w:val="single" w:sz="8" w:space="0" w:color="000000"/>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470" w:type="pct"/>
            <w:tcBorders>
              <w:top w:val="single" w:sz="8" w:space="0" w:color="000000"/>
              <w:left w:val="single" w:sz="8" w:space="0" w:color="000000"/>
              <w:bottom w:val="nil"/>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落实合</w:t>
            </w:r>
            <w:proofErr w:type="gramStart"/>
            <w:r w:rsidRPr="00775A73">
              <w:rPr>
                <w:rFonts w:ascii="宋体" w:eastAsia="宋体" w:hAnsi="宋体" w:cs="宋体" w:hint="eastAsia"/>
                <w:color w:val="424242"/>
                <w:kern w:val="0"/>
                <w:sz w:val="15"/>
                <w:szCs w:val="15"/>
              </w:rPr>
              <w:t>规</w:t>
            </w:r>
            <w:proofErr w:type="gramEnd"/>
            <w:r w:rsidRPr="00775A73">
              <w:rPr>
                <w:rFonts w:ascii="宋体" w:eastAsia="宋体" w:hAnsi="宋体" w:cs="宋体" w:hint="eastAsia"/>
                <w:color w:val="424242"/>
                <w:kern w:val="0"/>
                <w:sz w:val="15"/>
                <w:szCs w:val="15"/>
              </w:rPr>
              <w:t xml:space="preserve">经营主体责任情况 </w:t>
            </w:r>
          </w:p>
        </w:tc>
        <w:tc>
          <w:tcPr>
            <w:tcW w:w="3594" w:type="pct"/>
            <w:tcBorders>
              <w:top w:val="single" w:sz="8" w:space="0" w:color="000000"/>
              <w:left w:val="single" w:sz="8" w:space="0" w:color="000000"/>
              <w:bottom w:val="nil"/>
              <w:right w:val="single" w:sz="8" w:space="0" w:color="000000"/>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1. 建立合</w:t>
            </w:r>
            <w:proofErr w:type="gramStart"/>
            <w:r w:rsidRPr="00775A73">
              <w:rPr>
                <w:rFonts w:ascii="宋体" w:eastAsia="宋体" w:hAnsi="宋体" w:cs="宋体" w:hint="eastAsia"/>
                <w:color w:val="424242"/>
                <w:kern w:val="0"/>
                <w:sz w:val="15"/>
                <w:szCs w:val="15"/>
              </w:rPr>
              <w:t>规</w:t>
            </w:r>
            <w:proofErr w:type="gramEnd"/>
            <w:r w:rsidRPr="00775A73">
              <w:rPr>
                <w:rFonts w:ascii="宋体" w:eastAsia="宋体" w:hAnsi="宋体" w:cs="宋体" w:hint="eastAsia"/>
                <w:color w:val="424242"/>
                <w:kern w:val="0"/>
                <w:sz w:val="15"/>
                <w:szCs w:val="15"/>
              </w:rPr>
              <w:t>经营体系、合</w:t>
            </w:r>
            <w:proofErr w:type="gramStart"/>
            <w:r w:rsidRPr="00775A73">
              <w:rPr>
                <w:rFonts w:ascii="宋体" w:eastAsia="宋体" w:hAnsi="宋体" w:cs="宋体" w:hint="eastAsia"/>
                <w:color w:val="424242"/>
                <w:kern w:val="0"/>
                <w:sz w:val="15"/>
                <w:szCs w:val="15"/>
              </w:rPr>
              <w:t>规</w:t>
            </w:r>
            <w:proofErr w:type="gramEnd"/>
            <w:r w:rsidRPr="00775A73">
              <w:rPr>
                <w:rFonts w:ascii="宋体" w:eastAsia="宋体" w:hAnsi="宋体" w:cs="宋体" w:hint="eastAsia"/>
                <w:color w:val="424242"/>
                <w:kern w:val="0"/>
                <w:sz w:val="15"/>
                <w:szCs w:val="15"/>
              </w:rPr>
              <w:t xml:space="preserve">机构情况；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2. 是否按规定及时向驻外使（领）馆报到；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3. 是否按规定报告境外投资业务情况和统计资料；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4. 境外企业和对外投资联络服务平台用户是否按规定通过平台报送信息；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5. 对外投资备案（核准）报告信息的及时性、真实性、完整性；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6. 是否存在投资境外赌博业等禁止开展的境外投资情况；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7. 贯彻绿色发展理念、制定环境保护制度、落实环境保护措施情况；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8. 根据管理需要确定的其他事项。 </w:t>
            </w:r>
          </w:p>
        </w:tc>
      </w:tr>
      <w:tr w:rsidR="00775A73" w:rsidRPr="00775A73" w:rsidTr="00775A73">
        <w:tc>
          <w:tcPr>
            <w:tcW w:w="236" w:type="pct"/>
            <w:vMerge/>
            <w:tcBorders>
              <w:top w:val="single" w:sz="8" w:space="0" w:color="000000"/>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289" w:type="pct"/>
            <w:vMerge/>
            <w:tcBorders>
              <w:top w:val="single" w:sz="8" w:space="0" w:color="000000"/>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411" w:type="pct"/>
            <w:vMerge/>
            <w:tcBorders>
              <w:top w:val="single" w:sz="8" w:space="0" w:color="000000"/>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470" w:type="pct"/>
            <w:tcBorders>
              <w:top w:val="single" w:sz="8" w:space="0" w:color="000000"/>
              <w:left w:val="single" w:sz="8" w:space="0" w:color="000000"/>
              <w:bottom w:val="single" w:sz="8" w:space="0" w:color="000000"/>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防范化解境外</w:t>
            </w:r>
            <w:r w:rsidRPr="00775A73">
              <w:rPr>
                <w:rFonts w:ascii="宋体" w:eastAsia="宋体" w:hAnsi="宋体" w:cs="宋体" w:hint="eastAsia"/>
                <w:color w:val="424242"/>
                <w:kern w:val="0"/>
                <w:sz w:val="15"/>
                <w:szCs w:val="15"/>
              </w:rPr>
              <w:lastRenderedPageBreak/>
              <w:t xml:space="preserve">风险、落实安全主体责任情况 </w:t>
            </w:r>
          </w:p>
        </w:tc>
        <w:tc>
          <w:tcPr>
            <w:tcW w:w="3594" w:type="pct"/>
            <w:tcBorders>
              <w:top w:val="single" w:sz="8" w:space="0" w:color="000000"/>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lastRenderedPageBreak/>
              <w:t xml:space="preserve">1. 是否落实人员和财产安全防范措施、建立突发事件预警机制和应急预案；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2. 对外派人员的行前安全、纪律教育和应急培训情况：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lastRenderedPageBreak/>
              <w:t xml:space="preserve">3. 是否制定并严格执行境外安全生产管理的规章制度；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4. 处置境外突发事件情况。 </w:t>
            </w:r>
          </w:p>
        </w:tc>
      </w:tr>
      <w:tr w:rsidR="00775A73" w:rsidRPr="00775A73" w:rsidTr="00775A73">
        <w:tc>
          <w:tcPr>
            <w:tcW w:w="236" w:type="pct"/>
            <w:vMerge w:val="restart"/>
            <w:tcBorders>
              <w:top w:val="nil"/>
              <w:left w:val="single" w:sz="8" w:space="0" w:color="000000"/>
              <w:bottom w:val="single" w:sz="8" w:space="0" w:color="000000"/>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lastRenderedPageBreak/>
              <w:t xml:space="preserve">2 </w:t>
            </w:r>
          </w:p>
        </w:tc>
        <w:tc>
          <w:tcPr>
            <w:tcW w:w="289" w:type="pct"/>
            <w:vMerge w:val="restart"/>
            <w:tcBorders>
              <w:top w:val="nil"/>
              <w:left w:val="single" w:sz="8" w:space="0" w:color="000000"/>
              <w:bottom w:val="single" w:sz="8" w:space="0" w:color="000000"/>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对外承包工程检查 </w:t>
            </w:r>
          </w:p>
        </w:tc>
        <w:tc>
          <w:tcPr>
            <w:tcW w:w="411" w:type="pct"/>
            <w:vMerge w:val="restart"/>
            <w:tcBorders>
              <w:top w:val="nil"/>
              <w:left w:val="single" w:sz="8" w:space="0" w:color="000000"/>
              <w:bottom w:val="single" w:sz="8" w:space="0" w:color="000000"/>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《对外承包工程管理条例》（国务院令第527号） </w:t>
            </w:r>
          </w:p>
        </w:tc>
        <w:tc>
          <w:tcPr>
            <w:tcW w:w="470" w:type="pct"/>
            <w:tcBorders>
              <w:top w:val="nil"/>
              <w:left w:val="single" w:sz="8" w:space="0" w:color="000000"/>
              <w:bottom w:val="nil"/>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统筹推进境外疫情防控和生产建设情况 </w:t>
            </w:r>
          </w:p>
        </w:tc>
        <w:tc>
          <w:tcPr>
            <w:tcW w:w="3594" w:type="pct"/>
            <w:tcBorders>
              <w:top w:val="nil"/>
              <w:left w:val="single" w:sz="8" w:space="0" w:color="000000"/>
              <w:bottom w:val="nil"/>
              <w:right w:val="single" w:sz="8" w:space="0" w:color="000000"/>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1. 境外疫情防控情况；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2. 是否发生聚集性感染事件，有关处理措施和处理结果；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3. 克服疫情影响保障生产建设情况。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（※疫情防控为阶段性工作，至疫情结束为止） </w:t>
            </w:r>
          </w:p>
        </w:tc>
      </w:tr>
      <w:tr w:rsidR="00775A73" w:rsidRPr="00775A73" w:rsidTr="00775A73">
        <w:tc>
          <w:tcPr>
            <w:tcW w:w="236" w:type="pct"/>
            <w:vMerge/>
            <w:tcBorders>
              <w:top w:val="nil"/>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289" w:type="pct"/>
            <w:vMerge/>
            <w:tcBorders>
              <w:top w:val="nil"/>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411" w:type="pct"/>
            <w:vMerge/>
            <w:tcBorders>
              <w:top w:val="nil"/>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470" w:type="pct"/>
            <w:tcBorders>
              <w:top w:val="single" w:sz="8" w:space="0" w:color="000000"/>
              <w:left w:val="single" w:sz="8" w:space="0" w:color="000000"/>
              <w:bottom w:val="nil"/>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落实合</w:t>
            </w:r>
            <w:proofErr w:type="gramStart"/>
            <w:r w:rsidRPr="00775A73">
              <w:rPr>
                <w:rFonts w:ascii="宋体" w:eastAsia="宋体" w:hAnsi="宋体" w:cs="宋体" w:hint="eastAsia"/>
                <w:color w:val="424242"/>
                <w:kern w:val="0"/>
                <w:sz w:val="15"/>
                <w:szCs w:val="15"/>
              </w:rPr>
              <w:t>规</w:t>
            </w:r>
            <w:proofErr w:type="gramEnd"/>
            <w:r w:rsidRPr="00775A73">
              <w:rPr>
                <w:rFonts w:ascii="宋体" w:eastAsia="宋体" w:hAnsi="宋体" w:cs="宋体" w:hint="eastAsia"/>
                <w:color w:val="424242"/>
                <w:kern w:val="0"/>
                <w:sz w:val="15"/>
                <w:szCs w:val="15"/>
              </w:rPr>
              <w:t xml:space="preserve">经营主体责任情况 </w:t>
            </w:r>
          </w:p>
        </w:tc>
        <w:tc>
          <w:tcPr>
            <w:tcW w:w="3594" w:type="pct"/>
            <w:tcBorders>
              <w:top w:val="single" w:sz="8" w:space="0" w:color="000000"/>
              <w:left w:val="single" w:sz="8" w:space="0" w:color="000000"/>
              <w:bottom w:val="nil"/>
              <w:right w:val="single" w:sz="8" w:space="0" w:color="000000"/>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1. 建立合</w:t>
            </w:r>
            <w:proofErr w:type="gramStart"/>
            <w:r w:rsidRPr="00775A73">
              <w:rPr>
                <w:rFonts w:ascii="宋体" w:eastAsia="宋体" w:hAnsi="宋体" w:cs="宋体" w:hint="eastAsia"/>
                <w:color w:val="424242"/>
                <w:kern w:val="0"/>
                <w:sz w:val="15"/>
                <w:szCs w:val="15"/>
              </w:rPr>
              <w:t>规</w:t>
            </w:r>
            <w:proofErr w:type="gramEnd"/>
            <w:r w:rsidRPr="00775A73">
              <w:rPr>
                <w:rFonts w:ascii="宋体" w:eastAsia="宋体" w:hAnsi="宋体" w:cs="宋体" w:hint="eastAsia"/>
                <w:color w:val="424242"/>
                <w:kern w:val="0"/>
                <w:sz w:val="15"/>
                <w:szCs w:val="15"/>
              </w:rPr>
              <w:t>经营体系、合</w:t>
            </w:r>
            <w:proofErr w:type="gramStart"/>
            <w:r w:rsidRPr="00775A73">
              <w:rPr>
                <w:rFonts w:ascii="宋体" w:eastAsia="宋体" w:hAnsi="宋体" w:cs="宋体" w:hint="eastAsia"/>
                <w:color w:val="424242"/>
                <w:kern w:val="0"/>
                <w:sz w:val="15"/>
                <w:szCs w:val="15"/>
              </w:rPr>
              <w:t>规</w:t>
            </w:r>
            <w:proofErr w:type="gramEnd"/>
            <w:r w:rsidRPr="00775A73">
              <w:rPr>
                <w:rFonts w:ascii="宋体" w:eastAsia="宋体" w:hAnsi="宋体" w:cs="宋体" w:hint="eastAsia"/>
                <w:color w:val="424242"/>
                <w:kern w:val="0"/>
                <w:sz w:val="15"/>
                <w:szCs w:val="15"/>
              </w:rPr>
              <w:t xml:space="preserve">机构情况；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2. 是否按规定办理对外承包工程项目备案（立项）手续；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3. 是否存在以不正当的低价承揽工程项目、串通投标、商业贿赂和承揽境外赌场建设项目的行为；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4. 在与业主签订合同后，是否及时向驻外使（领）馆报告；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5 .工程项目分包转包管理情况；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6. 是否存在通过未依法取得许可或者有重大违法行为的中介机构招用外派人员、不按合同约定向外派人员提供工作条件和支付报酬等情况；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7. 是否按规定及时在系统中报告工程项目开展情况、是否按统计制度要求报送统计月报；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8. 境外企业和对外投资联络服务平台用户是否按规定通过平台报送信息；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9. 贯彻绿色发展理念、制定环境保护制度、落实环境保护措施情况；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10. 根据管理需要确定的其他事项。 </w:t>
            </w:r>
          </w:p>
        </w:tc>
      </w:tr>
      <w:tr w:rsidR="00775A73" w:rsidRPr="00775A73" w:rsidTr="00775A73">
        <w:tc>
          <w:tcPr>
            <w:tcW w:w="236" w:type="pct"/>
            <w:vMerge/>
            <w:tcBorders>
              <w:top w:val="nil"/>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289" w:type="pct"/>
            <w:vMerge/>
            <w:tcBorders>
              <w:top w:val="nil"/>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411" w:type="pct"/>
            <w:vMerge/>
            <w:tcBorders>
              <w:top w:val="nil"/>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470" w:type="pct"/>
            <w:tcBorders>
              <w:top w:val="single" w:sz="8" w:space="0" w:color="000000"/>
              <w:left w:val="single" w:sz="8" w:space="0" w:color="000000"/>
              <w:bottom w:val="single" w:sz="8" w:space="0" w:color="000000"/>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防范化解境外风险、落实安全主体责任情况 </w:t>
            </w:r>
          </w:p>
        </w:tc>
        <w:tc>
          <w:tcPr>
            <w:tcW w:w="3594" w:type="pct"/>
            <w:tcBorders>
              <w:top w:val="single" w:sz="8" w:space="0" w:color="000000"/>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1. 是否有专门的安全管理机构和人员、制定突发事件应急预案、为外派人员购买境外人身意外伤害保险；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2. 对外派人员进行安全防范教育和应急知识培训、制定保护外派人员人身和财产安全方案并落实所需经费情况；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3. 是否按规定足额缴纳备用金；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4. 是否制定并严格执行工程质量和安全生产管理的规章制度；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5. 处置境外突发事件情况。 </w:t>
            </w:r>
          </w:p>
        </w:tc>
      </w:tr>
      <w:tr w:rsidR="00775A73" w:rsidRPr="00775A73" w:rsidTr="00775A73">
        <w:tc>
          <w:tcPr>
            <w:tcW w:w="236" w:type="pct"/>
            <w:vMerge w:val="restart"/>
            <w:tcBorders>
              <w:top w:val="nil"/>
              <w:left w:val="single" w:sz="8" w:space="0" w:color="000000"/>
              <w:bottom w:val="single" w:sz="8" w:space="0" w:color="000000"/>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3 </w:t>
            </w:r>
          </w:p>
        </w:tc>
        <w:tc>
          <w:tcPr>
            <w:tcW w:w="289" w:type="pct"/>
            <w:vMerge w:val="restart"/>
            <w:tcBorders>
              <w:top w:val="nil"/>
              <w:left w:val="single" w:sz="8" w:space="0" w:color="000000"/>
              <w:bottom w:val="single" w:sz="8" w:space="0" w:color="000000"/>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对外劳务</w:t>
            </w:r>
            <w:r w:rsidRPr="00775A73">
              <w:rPr>
                <w:rFonts w:ascii="宋体" w:eastAsia="宋体" w:hAnsi="宋体" w:cs="宋体" w:hint="eastAsia"/>
                <w:color w:val="424242"/>
                <w:kern w:val="0"/>
                <w:sz w:val="15"/>
                <w:szCs w:val="15"/>
              </w:rPr>
              <w:lastRenderedPageBreak/>
              <w:t xml:space="preserve">合作检查 </w:t>
            </w:r>
          </w:p>
        </w:tc>
        <w:tc>
          <w:tcPr>
            <w:tcW w:w="411" w:type="pct"/>
            <w:vMerge w:val="restart"/>
            <w:tcBorders>
              <w:top w:val="nil"/>
              <w:left w:val="single" w:sz="8" w:space="0" w:color="000000"/>
              <w:bottom w:val="single" w:sz="8" w:space="0" w:color="000000"/>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lastRenderedPageBreak/>
              <w:t>《对外劳务合作管</w:t>
            </w:r>
            <w:r w:rsidRPr="00775A73">
              <w:rPr>
                <w:rFonts w:ascii="宋体" w:eastAsia="宋体" w:hAnsi="宋体" w:cs="宋体" w:hint="eastAsia"/>
                <w:color w:val="424242"/>
                <w:kern w:val="0"/>
                <w:sz w:val="15"/>
                <w:szCs w:val="15"/>
              </w:rPr>
              <w:lastRenderedPageBreak/>
              <w:t xml:space="preserve">理条例》（国务院令第620号） </w:t>
            </w:r>
          </w:p>
        </w:tc>
        <w:tc>
          <w:tcPr>
            <w:tcW w:w="470" w:type="pct"/>
            <w:tcBorders>
              <w:top w:val="nil"/>
              <w:left w:val="single" w:sz="8" w:space="0" w:color="000000"/>
              <w:bottom w:val="nil"/>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lastRenderedPageBreak/>
              <w:t>统筹推进境外疫情防控和生</w:t>
            </w:r>
            <w:r w:rsidRPr="00775A73">
              <w:rPr>
                <w:rFonts w:ascii="宋体" w:eastAsia="宋体" w:hAnsi="宋体" w:cs="宋体" w:hint="eastAsia"/>
                <w:color w:val="424242"/>
                <w:kern w:val="0"/>
                <w:sz w:val="15"/>
                <w:szCs w:val="15"/>
              </w:rPr>
              <w:lastRenderedPageBreak/>
              <w:t xml:space="preserve">产经营情况 </w:t>
            </w:r>
          </w:p>
        </w:tc>
        <w:tc>
          <w:tcPr>
            <w:tcW w:w="3594" w:type="pct"/>
            <w:tcBorders>
              <w:top w:val="nil"/>
              <w:left w:val="single" w:sz="8" w:space="0" w:color="000000"/>
              <w:bottom w:val="nil"/>
              <w:right w:val="single" w:sz="8" w:space="0" w:color="000000"/>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lastRenderedPageBreak/>
              <w:t xml:space="preserve">1. 境外疫情防控情况；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2. 是否发生聚集性感染事件，有关处理措施和处理结果；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3. 克服疫情影响保障生产经营情况。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（※疫情防控为阶段性工作，至疫情结束为止） </w:t>
            </w:r>
          </w:p>
        </w:tc>
      </w:tr>
      <w:tr w:rsidR="00775A73" w:rsidRPr="00775A73" w:rsidTr="00775A73">
        <w:tc>
          <w:tcPr>
            <w:tcW w:w="236" w:type="pct"/>
            <w:vMerge/>
            <w:tcBorders>
              <w:top w:val="nil"/>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289" w:type="pct"/>
            <w:vMerge/>
            <w:tcBorders>
              <w:top w:val="nil"/>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411" w:type="pct"/>
            <w:vMerge/>
            <w:tcBorders>
              <w:top w:val="nil"/>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470" w:type="pct"/>
            <w:tcBorders>
              <w:top w:val="single" w:sz="8" w:space="0" w:color="000000"/>
              <w:left w:val="single" w:sz="8" w:space="0" w:color="000000"/>
              <w:bottom w:val="nil"/>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落实合</w:t>
            </w:r>
            <w:proofErr w:type="gramStart"/>
            <w:r w:rsidRPr="00775A73">
              <w:rPr>
                <w:rFonts w:ascii="宋体" w:eastAsia="宋体" w:hAnsi="宋体" w:cs="宋体" w:hint="eastAsia"/>
                <w:color w:val="424242"/>
                <w:kern w:val="0"/>
                <w:sz w:val="15"/>
                <w:szCs w:val="15"/>
              </w:rPr>
              <w:t>规</w:t>
            </w:r>
            <w:proofErr w:type="gramEnd"/>
            <w:r w:rsidRPr="00775A73">
              <w:rPr>
                <w:rFonts w:ascii="宋体" w:eastAsia="宋体" w:hAnsi="宋体" w:cs="宋体" w:hint="eastAsia"/>
                <w:color w:val="424242"/>
                <w:kern w:val="0"/>
                <w:sz w:val="15"/>
                <w:szCs w:val="15"/>
              </w:rPr>
              <w:t xml:space="preserve">经营主体责任情况 </w:t>
            </w:r>
          </w:p>
        </w:tc>
        <w:tc>
          <w:tcPr>
            <w:tcW w:w="3594" w:type="pct"/>
            <w:tcBorders>
              <w:top w:val="single" w:sz="8" w:space="0" w:color="000000"/>
              <w:left w:val="single" w:sz="8" w:space="0" w:color="000000"/>
              <w:bottom w:val="nil"/>
              <w:right w:val="single" w:sz="8" w:space="0" w:color="000000"/>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1. 与国外雇主订立劳务合作合同、与劳务人员订立服务或劳动合同情况；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2. 是否存在允许其他单位或个人以本企业名义组织劳务人员赴国外工作情况；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3. 是否存在以商务、旅游、留学等名义组织劳务人员赴国外工作情况；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4. 是否存在组织劳务人员赴国外从事与赌博、色情活动相关的工作情况；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5. 是否按规定安排随行管理人员；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6. 组织劳务人员出境后，是否将有关情况向中国驻用工项目所在国使（领）馆报告；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7. 是否按规定通过对外投资合作在外人员信息系统办理有关合同及人员名单备案，并及时准确填报统计资料；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8. 根据管理需要确定的其他事项。 </w:t>
            </w:r>
          </w:p>
        </w:tc>
      </w:tr>
      <w:tr w:rsidR="00775A73" w:rsidRPr="00775A73" w:rsidTr="00775A73">
        <w:tc>
          <w:tcPr>
            <w:tcW w:w="236" w:type="pct"/>
            <w:vMerge/>
            <w:tcBorders>
              <w:top w:val="nil"/>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289" w:type="pct"/>
            <w:vMerge/>
            <w:tcBorders>
              <w:top w:val="nil"/>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411" w:type="pct"/>
            <w:vMerge/>
            <w:tcBorders>
              <w:top w:val="nil"/>
              <w:left w:val="single" w:sz="8" w:space="0" w:color="000000"/>
              <w:bottom w:val="single" w:sz="8" w:space="0" w:color="000000"/>
              <w:right w:val="nil"/>
            </w:tcBorders>
            <w:vAlign w:val="center"/>
            <w:hideMark/>
          </w:tcPr>
          <w:p w:rsidR="00775A73" w:rsidRPr="00775A73" w:rsidRDefault="00775A73" w:rsidP="00775A73">
            <w:pPr>
              <w:widowControl/>
              <w:jc w:val="left"/>
              <w:rPr>
                <w:rFonts w:ascii="宋体" w:eastAsia="宋体" w:hAnsi="宋体" w:cs="宋体"/>
                <w:color w:val="424242"/>
                <w:kern w:val="0"/>
                <w:sz w:val="15"/>
                <w:szCs w:val="15"/>
              </w:rPr>
            </w:pPr>
          </w:p>
        </w:tc>
        <w:tc>
          <w:tcPr>
            <w:tcW w:w="470" w:type="pct"/>
            <w:tcBorders>
              <w:top w:val="single" w:sz="8" w:space="0" w:color="000000"/>
              <w:left w:val="single" w:sz="8" w:space="0" w:color="000000"/>
              <w:bottom w:val="single" w:sz="8" w:space="0" w:color="000000"/>
              <w:right w:val="nil"/>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防范化解境外风险、落实安全主体责任情况 </w:t>
            </w:r>
          </w:p>
        </w:tc>
        <w:tc>
          <w:tcPr>
            <w:tcW w:w="3594" w:type="pct"/>
            <w:tcBorders>
              <w:top w:val="single" w:sz="8" w:space="0" w:color="000000"/>
              <w:left w:val="single" w:sz="8" w:space="0" w:color="000000"/>
              <w:bottom w:val="single" w:sz="8" w:space="0" w:color="000000"/>
              <w:right w:val="single" w:sz="8" w:space="0" w:color="000000"/>
            </w:tcBorders>
            <w:shd w:val="clear" w:color="auto" w:fill="FFFFFF"/>
            <w:tcMar>
              <w:top w:w="75" w:type="dxa"/>
              <w:left w:w="150" w:type="dxa"/>
              <w:bottom w:w="75" w:type="dxa"/>
              <w:right w:w="150" w:type="dxa"/>
            </w:tcMar>
            <w:vAlign w:val="center"/>
            <w:hideMark/>
          </w:tcPr>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1. 安排劳务人员接受安全防范知识、外语及相关法律、宗教信仰、风俗习惯等知识培训情况；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2. 是否按规定足额缴纳或及时补足备用金；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3. 是否为劳务人员购买相关保险；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4. 是否制定境外劳务纠纷和突发事件应急预案； </w:t>
            </w:r>
          </w:p>
          <w:p w:rsidR="00775A73" w:rsidRPr="00775A73" w:rsidRDefault="00775A73" w:rsidP="00775A73">
            <w:pPr>
              <w:widowControl/>
              <w:wordWrap w:val="0"/>
              <w:spacing w:line="360" w:lineRule="atLeast"/>
              <w:jc w:val="left"/>
              <w:rPr>
                <w:rFonts w:ascii="宋体" w:eastAsia="宋体" w:hAnsi="宋体" w:cs="宋体" w:hint="eastAsia"/>
                <w:color w:val="424242"/>
                <w:kern w:val="0"/>
                <w:sz w:val="15"/>
                <w:szCs w:val="15"/>
              </w:rPr>
            </w:pPr>
            <w:r w:rsidRPr="00775A73">
              <w:rPr>
                <w:rFonts w:ascii="宋体" w:eastAsia="宋体" w:hAnsi="宋体" w:cs="宋体" w:hint="eastAsia"/>
                <w:color w:val="424242"/>
                <w:kern w:val="0"/>
                <w:sz w:val="15"/>
                <w:szCs w:val="15"/>
              </w:rPr>
              <w:t xml:space="preserve">5. 处置境外劳务纠纷和突发事件情况。 </w:t>
            </w:r>
          </w:p>
        </w:tc>
      </w:tr>
    </w:tbl>
    <w:p w:rsidR="008945A1" w:rsidRDefault="008945A1"/>
    <w:sectPr w:rsidR="00894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73"/>
    <w:rsid w:val="00775A73"/>
    <w:rsid w:val="00894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D4175-1560-421E-B467-B147279B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5A7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75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63387">
      <w:bodyDiv w:val="1"/>
      <w:marLeft w:val="0"/>
      <w:marRight w:val="0"/>
      <w:marTop w:val="0"/>
      <w:marBottom w:val="0"/>
      <w:divBdr>
        <w:top w:val="none" w:sz="0" w:space="0" w:color="auto"/>
        <w:left w:val="none" w:sz="0" w:space="0" w:color="auto"/>
        <w:bottom w:val="none" w:sz="0" w:space="0" w:color="auto"/>
        <w:right w:val="none" w:sz="0" w:space="0" w:color="auto"/>
      </w:divBdr>
      <w:divsChild>
        <w:div w:id="571700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smtjhzs.mofcom.gov.cn/fecpnew/pages/ssj/base/SsjRandomExtractPublicityList.html" TargetMode="External"/><Relationship Id="rId4" Type="http://schemas.openxmlformats.org/officeDocument/2006/relationships/hyperlink" Target="http://mg.mofcom.gov.cn/article/jmxw/201907/20190702882594.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孙轶</dc:creator>
  <cp:keywords/>
  <dc:description/>
  <cp:lastModifiedBy>孙轶</cp:lastModifiedBy>
  <cp:revision>1</cp:revision>
  <dcterms:created xsi:type="dcterms:W3CDTF">2024-10-24T09:38:00Z</dcterms:created>
  <dcterms:modified xsi:type="dcterms:W3CDTF">2024-10-24T09:40:00Z</dcterms:modified>
</cp:coreProperties>
</file>