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88" w:lineRule="atLeas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8" w:lineRule="atLeas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中央</w:t>
      </w:r>
      <w:r>
        <w:rPr>
          <w:rFonts w:hint="eastAsia" w:ascii="方正小标宋_GBK" w:hAnsi="方正小标宋_GBK" w:eastAsia="方正小标宋_GBK" w:cs="方正小标宋_GBK"/>
          <w:sz w:val="36"/>
          <w:szCs w:val="36"/>
          <w:lang w:eastAsia="zh-CN"/>
        </w:rPr>
        <w:t>专项彩票公益金</w:t>
      </w:r>
      <w:r>
        <w:rPr>
          <w:rFonts w:hint="eastAsia" w:ascii="方正小标宋_GBK" w:hAnsi="方正小标宋_GBK" w:eastAsia="方正小标宋_GBK" w:cs="方正小标宋_GBK"/>
          <w:sz w:val="36"/>
          <w:szCs w:val="36"/>
        </w:rPr>
        <w:t>支持居家和社区基本养老服务</w:t>
      </w:r>
    </w:p>
    <w:p>
      <w:pPr>
        <w:keepNext w:val="0"/>
        <w:keepLines w:val="0"/>
        <w:pageBreakBefore w:val="0"/>
        <w:widowControl w:val="0"/>
        <w:kinsoku/>
        <w:wordWrap/>
        <w:overflowPunct/>
        <w:topLinePunct w:val="0"/>
        <w:autoSpaceDE/>
        <w:autoSpaceDN/>
        <w:bidi w:val="0"/>
        <w:adjustRightInd/>
        <w:snapToGrid/>
        <w:spacing w:line="588" w:lineRule="atLeas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提升</w:t>
      </w:r>
      <w:r>
        <w:rPr>
          <w:rFonts w:hint="eastAsia" w:ascii="方正小标宋_GBK" w:hAnsi="方正小标宋_GBK" w:eastAsia="方正小标宋_GBK" w:cs="方正小标宋_GBK"/>
          <w:sz w:val="36"/>
          <w:szCs w:val="36"/>
          <w:lang w:eastAsia="zh-CN"/>
        </w:rPr>
        <w:t>行动</w:t>
      </w:r>
      <w:r>
        <w:rPr>
          <w:rFonts w:hint="eastAsia" w:ascii="方正小标宋_GBK" w:hAnsi="方正小标宋_GBK" w:eastAsia="方正小标宋_GBK" w:cs="方正小标宋_GBK"/>
          <w:sz w:val="36"/>
          <w:szCs w:val="36"/>
        </w:rPr>
        <w:t>项目资金管理办法</w:t>
      </w:r>
    </w:p>
    <w:p>
      <w:pPr>
        <w:keepNext w:val="0"/>
        <w:keepLines w:val="0"/>
        <w:pageBreakBefore w:val="0"/>
        <w:widowControl w:val="0"/>
        <w:kinsoku/>
        <w:wordWrap/>
        <w:overflowPunct/>
        <w:topLinePunct w:val="0"/>
        <w:autoSpaceDE/>
        <w:autoSpaceDN/>
        <w:bidi w:val="0"/>
        <w:adjustRightInd/>
        <w:snapToGrid/>
        <w:spacing w:line="588" w:lineRule="atLeas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规范和加强中央专项彩票公益金支持居家和社区基本养老服务提升行动项目资金（以下简称项目资金）管理，提高资金使用效益，根据《中华人民共和国预算法》、《中华人民共和国预算法实施条例》（国务院令第</w:t>
      </w:r>
      <w:r>
        <w:rPr>
          <w:rFonts w:hint="eastAsia" w:ascii="仿宋_GB2312" w:hAnsi="仿宋_GB2312" w:eastAsia="仿宋_GB2312" w:cs="仿宋_GB2312"/>
          <w:sz w:val="32"/>
          <w:szCs w:val="32"/>
          <w:lang w:val="en-US" w:eastAsia="zh-CN"/>
        </w:rPr>
        <w:t>729号</w:t>
      </w:r>
      <w:r>
        <w:rPr>
          <w:rFonts w:hint="eastAsia" w:ascii="仿宋_GB2312" w:hAnsi="仿宋_GB2312" w:eastAsia="仿宋_GB2312" w:cs="仿宋_GB2312"/>
          <w:sz w:val="32"/>
          <w:szCs w:val="32"/>
          <w:lang w:eastAsia="zh-CN"/>
        </w:rPr>
        <w:t>）、《彩票管理条例》（国务院令第554号）等有关规定，制定本办法。</w:t>
      </w:r>
    </w:p>
    <w:p>
      <w:pPr>
        <w:keepNext w:val="0"/>
        <w:keepLines w:val="0"/>
        <w:pageBreakBefore w:val="0"/>
        <w:widowControl w:val="0"/>
        <w:kinsoku/>
        <w:wordWrap/>
        <w:overflowPunct/>
        <w:topLinePunct w:val="0"/>
        <w:autoSpaceDE/>
        <w:autoSpaceDN/>
        <w:bidi w:val="0"/>
        <w:adjustRightInd/>
        <w:snapToGrid/>
        <w:spacing w:line="588"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资金是指中央财政</w:t>
      </w:r>
      <w:r>
        <w:rPr>
          <w:rFonts w:hint="eastAsia" w:ascii="仿宋_GB2312" w:hAnsi="仿宋_GB2312" w:eastAsia="仿宋_GB2312" w:cs="仿宋_GB2312"/>
          <w:sz w:val="32"/>
          <w:szCs w:val="32"/>
          <w:lang w:eastAsia="zh-CN"/>
        </w:rPr>
        <w:t>通过中央专项彩票公益金</w:t>
      </w:r>
      <w:r>
        <w:rPr>
          <w:rFonts w:hint="eastAsia" w:ascii="仿宋_GB2312" w:hAnsi="仿宋_GB2312" w:eastAsia="仿宋_GB2312" w:cs="仿宋_GB2312"/>
          <w:sz w:val="32"/>
          <w:szCs w:val="32"/>
        </w:rPr>
        <w:t>安排用于项目地区开展居家和社区基本养老服务提升</w:t>
      </w:r>
      <w:r>
        <w:rPr>
          <w:rFonts w:hint="eastAsia" w:ascii="仿宋_GB2312" w:hAnsi="仿宋_GB2312" w:eastAsia="仿宋_GB2312" w:cs="仿宋_GB2312"/>
          <w:sz w:val="32"/>
          <w:szCs w:val="32"/>
          <w:lang w:eastAsia="zh-CN"/>
        </w:rPr>
        <w:t>行动</w:t>
      </w:r>
      <w:r>
        <w:rPr>
          <w:rFonts w:hint="eastAsia" w:ascii="仿宋_GB2312" w:hAnsi="仿宋_GB2312" w:eastAsia="仿宋_GB2312" w:cs="仿宋_GB2312"/>
          <w:sz w:val="32"/>
          <w:szCs w:val="32"/>
        </w:rPr>
        <w:t>项目的资金。</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项目资金实施期限暂至</w:t>
      </w:r>
      <w:r>
        <w:rPr>
          <w:rFonts w:hint="eastAsia" w:ascii="仿宋_GB2312" w:hAnsi="仿宋_GB2312" w:eastAsia="仿宋_GB2312" w:cs="仿宋_GB2312"/>
          <w:sz w:val="32"/>
          <w:szCs w:val="32"/>
          <w:lang w:val="en-US" w:eastAsia="zh-CN"/>
        </w:rPr>
        <w:t>2025年12月31日。期满后财政部会同民政部根据法律、行政法规和国务院有关规定及工作需要，</w:t>
      </w:r>
      <w:r>
        <w:rPr>
          <w:rFonts w:hint="eastAsia" w:ascii="仿宋_GB2312" w:hAnsi="仿宋_GB2312" w:eastAsia="仿宋_GB2312" w:cs="仿宋_GB2312"/>
          <w:b w:val="0"/>
          <w:bCs w:val="0"/>
          <w:sz w:val="32"/>
          <w:szCs w:val="32"/>
          <w:lang w:val="en-US" w:eastAsia="zh-CN"/>
        </w:rPr>
        <w:t>在组织开展绩效评估的基础上，</w:t>
      </w:r>
      <w:r>
        <w:rPr>
          <w:rFonts w:hint="eastAsia" w:ascii="仿宋_GB2312" w:hAnsi="仿宋_GB2312" w:eastAsia="仿宋_GB2312" w:cs="仿宋_GB2312"/>
          <w:sz w:val="32"/>
          <w:szCs w:val="32"/>
          <w:lang w:val="en-US" w:eastAsia="zh-CN"/>
        </w:rPr>
        <w:t>研究提出后续是否延长的意见。如需延长实施期限，由财政部按程序报国务院批准后实施。</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本办法所称项目地区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是指按照一定遴选规则确定的地级市</w:t>
      </w:r>
      <w:r>
        <w:rPr>
          <w:rFonts w:hint="eastAsia" w:ascii="仿宋_GB2312" w:hAnsi="仿宋_GB2312" w:eastAsia="仿宋_GB2312" w:cs="仿宋_GB2312"/>
          <w:sz w:val="32"/>
          <w:szCs w:val="32"/>
          <w:lang w:eastAsia="zh-CN"/>
        </w:rPr>
        <w:t>（含直辖市的区）以及</w:t>
      </w:r>
      <w:r>
        <w:rPr>
          <w:rFonts w:hint="eastAsia" w:ascii="仿宋_GB2312" w:hAnsi="仿宋_GB2312" w:eastAsia="仿宋_GB2312" w:cs="仿宋_GB2312"/>
          <w:sz w:val="32"/>
          <w:szCs w:val="32"/>
          <w:highlight w:val="none"/>
        </w:rPr>
        <w:t>计划单列市</w:t>
      </w:r>
      <w:r>
        <w:rPr>
          <w:rFonts w:hint="eastAsia" w:ascii="仿宋_GB2312" w:hAnsi="仿宋_GB2312" w:eastAsia="仿宋_GB2312" w:cs="仿宋_GB2312"/>
          <w:sz w:val="32"/>
          <w:szCs w:val="32"/>
          <w:highlight w:val="none"/>
          <w:lang w:eastAsia="zh-CN"/>
        </w:rPr>
        <w:t>、副省级城市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遴选规则由民政部会同财政部研究制定，民政部具体组织实施遴选工作。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第三条 </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资金的使用和管理要坚持规范、公开、公平、公正原则。</w:t>
      </w:r>
    </w:p>
    <w:p>
      <w:pPr>
        <w:keepNext w:val="0"/>
        <w:keepLines w:val="0"/>
        <w:pageBreakBefore w:val="0"/>
        <w:widowControl w:val="0"/>
        <w:numPr>
          <w:ilvl w:val="0"/>
          <w:numId w:val="0"/>
        </w:numPr>
        <w:kinsoku/>
        <w:wordWrap/>
        <w:overflowPunct/>
        <w:topLinePunct w:val="0"/>
        <w:autoSpaceDE/>
        <w:autoSpaceDN/>
        <w:bidi w:val="0"/>
        <w:adjustRightInd/>
        <w:snapToGrid/>
        <w:spacing w:line="588" w:lineRule="atLeas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项目地区要按照有关要求，如实准确填写申报材料，加强申报信息审核，确保数据真实无误，对申报信息的真实性、准确性、完整性负责。</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项目地区</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民政</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对项目地区的申报材料进行初审，对于审核中发现的问题，应当要求项目地区进行调整后再行报送。</w:t>
      </w:r>
      <w:r>
        <w:rPr>
          <w:rFonts w:hint="eastAsia" w:ascii="仿宋_GB2312" w:hAnsi="仿宋_GB2312" w:eastAsia="仿宋_GB2312" w:cs="仿宋_GB2312"/>
          <w:sz w:val="32"/>
          <w:szCs w:val="32"/>
        </w:rPr>
        <w:t>按照预算管理规定</w:t>
      </w:r>
      <w:r>
        <w:rPr>
          <w:rFonts w:hint="eastAsia" w:ascii="仿宋_GB2312" w:hAnsi="仿宋_GB2312" w:eastAsia="仿宋_GB2312" w:cs="仿宋_GB2312"/>
          <w:sz w:val="32"/>
          <w:szCs w:val="32"/>
          <w:lang w:eastAsia="zh-CN"/>
        </w:rPr>
        <w:t>，项目地区省级民政部门</w:t>
      </w:r>
      <w:r>
        <w:rPr>
          <w:rFonts w:hint="eastAsia" w:ascii="仿宋_GB2312" w:hAnsi="仿宋_GB2312" w:eastAsia="仿宋_GB2312" w:cs="仿宋_GB2312"/>
          <w:sz w:val="32"/>
          <w:szCs w:val="32"/>
        </w:rPr>
        <w:t>商同级财政部门设定</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资金区域绩效目标，明确资金与工作预期达到的效果，报</w:t>
      </w:r>
      <w:r>
        <w:rPr>
          <w:rFonts w:hint="eastAsia" w:ascii="仿宋_GB2312" w:hAnsi="仿宋_GB2312" w:eastAsia="仿宋_GB2312" w:cs="仿宋_GB2312"/>
          <w:sz w:val="32"/>
          <w:szCs w:val="32"/>
          <w:lang w:eastAsia="zh-CN"/>
        </w:rPr>
        <w:t>民政</w:t>
      </w:r>
      <w:r>
        <w:rPr>
          <w:rFonts w:hint="eastAsia" w:ascii="仿宋_GB2312" w:hAnsi="仿宋_GB2312" w:eastAsia="仿宋_GB2312" w:cs="仿宋_GB2312"/>
          <w:sz w:val="32"/>
          <w:szCs w:val="32"/>
        </w:rPr>
        <w:t>部审核并抄送财政部当地监管局</w:t>
      </w:r>
      <w:r>
        <w:rPr>
          <w:rFonts w:hint="eastAsia" w:ascii="仿宋_GB2312" w:hAnsi="仿宋_GB2312" w:eastAsia="仿宋_GB2312" w:cs="仿宋_GB2312"/>
          <w:sz w:val="32"/>
          <w:szCs w:val="32"/>
          <w:lang w:eastAsia="zh-CN"/>
        </w:rPr>
        <w:t>，并依职责对区域绩效目标申报的真实性、完整性、程序合规性、及时性及所涉有关基础数据的准确性负责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地方各级民政、财政部门在申报信息上报后，如发现信息有误，应当立即向上级民政、财政部门报告，并对有关信息更正后重新上报。</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民政部</w:t>
      </w:r>
      <w:r>
        <w:rPr>
          <w:rFonts w:hint="eastAsia" w:ascii="仿宋_GB2312" w:hAnsi="仿宋_GB2312" w:eastAsia="仿宋_GB2312" w:cs="仿宋_GB2312"/>
          <w:sz w:val="32"/>
          <w:szCs w:val="32"/>
          <w:lang w:eastAsia="zh-CN"/>
        </w:rPr>
        <w:t>对省级报送的区域绩效目标的完整性、相关性、适当性、可行性以及有关基础数据进行审核。对于审核中发现的问题，应当督促地方进行调整或修改完善后重新报送。根据审核结果，民政部研究</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资金分配</w:t>
      </w:r>
      <w:r>
        <w:rPr>
          <w:rFonts w:hint="eastAsia" w:ascii="仿宋_GB2312" w:hAnsi="仿宋_GB2312" w:eastAsia="仿宋_GB2312" w:cs="仿宋_GB2312"/>
          <w:sz w:val="32"/>
          <w:szCs w:val="32"/>
          <w:lang w:eastAsia="zh-CN"/>
        </w:rPr>
        <w:t>和区域绩效目标</w:t>
      </w: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送财政部，并负责提供相关测算因素数据，对其</w:t>
      </w:r>
      <w:r>
        <w:rPr>
          <w:rFonts w:hint="eastAsia" w:ascii="仿宋_GB2312" w:hAnsi="仿宋_GB2312" w:eastAsia="仿宋_GB2312" w:cs="仿宋_GB2312"/>
          <w:sz w:val="32"/>
          <w:szCs w:val="32"/>
          <w:lang w:eastAsia="zh-CN"/>
        </w:rPr>
        <w:t>真实性、</w:t>
      </w:r>
      <w:r>
        <w:rPr>
          <w:rFonts w:hint="eastAsia" w:ascii="仿宋_GB2312" w:hAnsi="仿宋_GB2312" w:eastAsia="仿宋_GB2312" w:cs="仿宋_GB2312"/>
          <w:sz w:val="32"/>
          <w:szCs w:val="32"/>
        </w:rPr>
        <w:t>准确性、及时性负责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财政部对民政部的资金分配和区域绩效目标建议进行审核，并</w:t>
      </w:r>
      <w:r>
        <w:rPr>
          <w:rFonts w:hint="eastAsia" w:ascii="仿宋_GB2312" w:hAnsi="仿宋_GB2312" w:eastAsia="仿宋_GB2312" w:cs="仿宋_GB2312"/>
          <w:sz w:val="32"/>
          <w:szCs w:val="32"/>
        </w:rPr>
        <w:t>根据规定的因素测算</w:t>
      </w:r>
      <w:r>
        <w:rPr>
          <w:rFonts w:hint="eastAsia" w:ascii="仿宋_GB2312" w:hAnsi="仿宋_GB2312" w:eastAsia="仿宋_GB2312" w:cs="仿宋_GB2312"/>
          <w:sz w:val="32"/>
          <w:szCs w:val="32"/>
          <w:lang w:eastAsia="zh-CN"/>
        </w:rPr>
        <w:t>提出</w:t>
      </w:r>
      <w:r>
        <w:rPr>
          <w:rFonts w:hint="eastAsia" w:ascii="仿宋_GB2312" w:hAnsi="仿宋_GB2312" w:eastAsia="仿宋_GB2312" w:cs="仿宋_GB2312"/>
          <w:sz w:val="32"/>
          <w:szCs w:val="32"/>
        </w:rPr>
        <w:t>资金分配方案，在全国人民代表大会批准预算后</w:t>
      </w:r>
      <w:r>
        <w:rPr>
          <w:rFonts w:hint="eastAsia" w:ascii="仿宋_GB2312" w:hAnsi="仿宋_GB2312" w:eastAsia="仿宋_GB2312" w:cs="仿宋_GB2312"/>
          <w:sz w:val="32"/>
          <w:szCs w:val="32"/>
          <w:lang w:val="en-US" w:eastAsia="zh-CN"/>
        </w:rPr>
        <w:t>规定时间</w:t>
      </w:r>
      <w:r>
        <w:rPr>
          <w:rFonts w:hint="eastAsia" w:ascii="仿宋_GB2312" w:hAnsi="仿宋_GB2312" w:eastAsia="仿宋_GB2312" w:cs="仿宋_GB2312"/>
          <w:sz w:val="32"/>
          <w:szCs w:val="32"/>
        </w:rPr>
        <w:t>内下达</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资金，并同步下达区域绩效目标。</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项目</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主要采用</w:t>
      </w:r>
      <w:r>
        <w:rPr>
          <w:rFonts w:hint="eastAsia" w:ascii="仿宋_GB2312" w:hAnsi="仿宋_GB2312" w:eastAsia="仿宋_GB2312" w:cs="仿宋_GB2312"/>
          <w:sz w:val="32"/>
          <w:szCs w:val="32"/>
        </w:rPr>
        <w:t>因素法分配，参考各地需求</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财力</w:t>
      </w:r>
      <w:r>
        <w:rPr>
          <w:rFonts w:hint="eastAsia" w:ascii="仿宋_GB2312" w:hAnsi="仿宋_GB2312" w:eastAsia="仿宋_GB2312" w:cs="仿宋_GB2312"/>
          <w:sz w:val="32"/>
          <w:szCs w:val="32"/>
          <w:lang w:eastAsia="zh-CN"/>
        </w:rPr>
        <w:t>两方面</w:t>
      </w:r>
      <w:r>
        <w:rPr>
          <w:rFonts w:hint="eastAsia" w:ascii="仿宋_GB2312" w:hAnsi="仿宋_GB2312" w:eastAsia="仿宋_GB2312" w:cs="仿宋_GB2312"/>
          <w:sz w:val="32"/>
          <w:szCs w:val="32"/>
        </w:rPr>
        <w:t>因素，重点向</w:t>
      </w:r>
      <w:r>
        <w:rPr>
          <w:rFonts w:hint="eastAsia" w:ascii="仿宋_GB2312" w:hAnsi="仿宋_GB2312" w:eastAsia="仿宋_GB2312" w:cs="仿宋_GB2312"/>
          <w:sz w:val="32"/>
          <w:szCs w:val="32"/>
          <w:lang w:eastAsia="zh-CN"/>
        </w:rPr>
        <w:t>养老服务需求大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财力困难</w:t>
      </w:r>
      <w:r>
        <w:rPr>
          <w:rFonts w:hint="eastAsia" w:ascii="仿宋_GB2312" w:hAnsi="仿宋_GB2312" w:eastAsia="仿宋_GB2312" w:cs="仿宋_GB2312"/>
          <w:sz w:val="32"/>
          <w:szCs w:val="32"/>
        </w:rPr>
        <w:t>的地区倾斜。测算公式为：</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某省（自治区、直辖市）拨付资金总额</w:t>
      </w:r>
      <w:r>
        <w:rPr>
          <w:rFonts w:hint="eastAsia" w:ascii="仿宋_GB2312" w:hAnsi="仿宋_GB2312" w:eastAsia="仿宋_GB2312" w:cs="仿宋_GB2312"/>
          <w:sz w:val="32"/>
          <w:szCs w:val="32"/>
          <w:lang w:val="en-US" w:eastAsia="zh-CN"/>
        </w:rPr>
        <w:t>=</w:t>
      </w:r>
      <m:oMath>
        <m:nary>
          <m:naryPr>
            <m:chr m:val="∑"/>
            <m:limLoc m:val="undOvr"/>
            <m:subHide m:val="true"/>
            <m:supHide m:val="true"/>
            <m:ctrlPr>
              <w:rPr>
                <w:rFonts w:ascii="DejaVu Math TeX Gyre" w:hAnsi="DejaVu Math TeX Gyre" w:cs="仿宋_GB2312"/>
                <w:i/>
                <w:sz w:val="32"/>
                <w:szCs w:val="32"/>
                <w:lang w:val="en-US"/>
              </w:rPr>
            </m:ctrlPr>
          </m:naryPr>
          <m:sub>
            <m:ctrlPr>
              <w:rPr>
                <w:rFonts w:ascii="DejaVu Math TeX Gyre" w:hAnsi="DejaVu Math TeX Gyre" w:cs="仿宋_GB2312"/>
                <w:i/>
                <w:sz w:val="32"/>
                <w:szCs w:val="32"/>
                <w:lang w:val="en-US"/>
              </w:rPr>
            </m:ctrlPr>
          </m:sub>
          <m:sup>
            <m:ctrlPr>
              <w:rPr>
                <w:rFonts w:ascii="DejaVu Math TeX Gyre" w:hAnsi="DejaVu Math TeX Gyre" w:cs="仿宋_GB2312"/>
                <w:i/>
                <w:sz w:val="32"/>
                <w:szCs w:val="32"/>
                <w:lang w:val="en-US"/>
              </w:rPr>
            </m:ctrlPr>
          </m:sup>
          <m:e>
            <m:r>
              <m:rPr>
                <m:sty m:val="p"/>
              </m:rPr>
              <w:rPr>
                <w:rFonts w:hint="eastAsia" w:ascii="DejaVu Math TeX Gyre" w:hAnsi="DejaVu Math TeX Gyre" w:eastAsia="仿宋_GB2312" w:cs="仿宋_GB2312"/>
                <w:sz w:val="32"/>
                <w:szCs w:val="32"/>
                <w:lang w:val="en-US" w:eastAsia="zh-CN"/>
              </w:rPr>
              <m:t>该省（自治区、直辖市）所属项目地区应拨付资金</m:t>
            </m:r>
            <m:ctrlPr>
              <w:rPr>
                <w:rFonts w:ascii="DejaVu Math TeX Gyre" w:hAnsi="DejaVu Math TeX Gyre" w:cs="仿宋_GB2312"/>
                <w:i/>
                <w:sz w:val="32"/>
                <w:szCs w:val="32"/>
                <w:lang w:val="en-US"/>
              </w:rPr>
            </m:ctrlPr>
          </m:e>
        </m:nary>
      </m:oMath>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某</w:t>
      </w:r>
      <w:r>
        <w:rPr>
          <w:rFonts w:hint="eastAsia" w:ascii="仿宋_GB2312" w:hAnsi="仿宋_GB2312" w:eastAsia="仿宋_GB2312" w:cs="仿宋_GB2312"/>
          <w:sz w:val="32"/>
          <w:szCs w:val="32"/>
          <w:lang w:eastAsia="zh-CN"/>
        </w:rPr>
        <w:t>项目地区</w:t>
      </w:r>
      <w:r>
        <w:rPr>
          <w:rFonts w:hint="eastAsia" w:ascii="仿宋_GB2312" w:hAnsi="仿宋_GB2312" w:eastAsia="仿宋_GB2312" w:cs="仿宋_GB2312"/>
          <w:sz w:val="32"/>
          <w:szCs w:val="32"/>
        </w:rPr>
        <w:t>应拨付资金=</w:t>
      </w:r>
      <w:r>
        <w:rPr>
          <w:rFonts w:hint="eastAsia" w:ascii="仿宋_GB2312" w:hAnsi="仿宋_GB2312" w:eastAsia="仿宋_GB2312" w:cs="仿宋_GB2312"/>
          <w:sz w:val="32"/>
          <w:szCs w:val="32"/>
          <w:lang w:eastAsia="zh-CN"/>
        </w:rPr>
        <w:t>因素法分配</w:t>
      </w:r>
      <w:r>
        <w:rPr>
          <w:rFonts w:hint="eastAsia" w:ascii="仿宋_GB2312" w:hAnsi="仿宋_GB2312" w:eastAsia="仿宋_GB2312" w:cs="仿宋_GB2312"/>
          <w:sz w:val="32"/>
          <w:szCs w:val="32"/>
        </w:rPr>
        <w:t>资金总额×</w:t>
      </w:r>
      <m:oMath>
        <m:f>
          <m:fPr>
            <m:ctrlPr>
              <w:rPr>
                <w:rFonts w:ascii="DejaVu Math TeX Gyre" w:hAnsi="DejaVu Math TeX Gyre" w:eastAsia="仿宋_GB2312" w:cs="仿宋_GB2312"/>
                <w:i w:val="0"/>
                <w:sz w:val="32"/>
                <w:szCs w:val="32"/>
              </w:rPr>
            </m:ctrlPr>
          </m:fPr>
          <m:num>
            <m:r>
              <m:rPr>
                <m:sty m:val="p"/>
              </m:rPr>
              <w:rPr>
                <w:rFonts w:hint="eastAsia" w:ascii="DejaVu Math TeX Gyre" w:hAnsi="DejaVu Math TeX Gyre" w:eastAsia="仿宋_GB2312" w:cs="仿宋_GB2312"/>
                <w:sz w:val="32"/>
                <w:szCs w:val="32"/>
                <w:lang w:eastAsia="zh-CN"/>
              </w:rPr>
              <m:t>该地区分配系数</m:t>
            </m:r>
            <m:ctrlPr>
              <w:rPr>
                <w:rFonts w:ascii="DejaVu Math TeX Gyre" w:hAnsi="DejaVu Math TeX Gyre" w:eastAsia="仿宋_GB2312" w:cs="仿宋_GB2312"/>
                <w:i w:val="0"/>
                <w:sz w:val="32"/>
                <w:szCs w:val="32"/>
              </w:rPr>
            </m:ctrlPr>
          </m:num>
          <m:den>
            <m:nary>
              <m:naryPr>
                <m:chr m:val="∑"/>
                <m:limLoc m:val="undOvr"/>
                <m:subHide m:val="true"/>
                <m:supHide m:val="true"/>
                <m:ctrlPr>
                  <w:rPr>
                    <w:rFonts w:ascii="DejaVu Math TeX Gyre" w:hAnsi="DejaVu Math TeX Gyre" w:eastAsia="仿宋_GB2312" w:cs="仿宋_GB2312"/>
                    <w:i w:val="0"/>
                    <w:sz w:val="32"/>
                    <w:szCs w:val="32"/>
                  </w:rPr>
                </m:ctrlPr>
              </m:naryPr>
              <m:sub>
                <m:ctrlPr>
                  <w:rPr>
                    <w:rFonts w:ascii="DejaVu Math TeX Gyre" w:hAnsi="DejaVu Math TeX Gyre" w:eastAsia="仿宋_GB2312" w:cs="仿宋_GB2312"/>
                    <w:i w:val="0"/>
                    <w:sz w:val="32"/>
                    <w:szCs w:val="32"/>
                  </w:rPr>
                </m:ctrlPr>
              </m:sub>
              <m:sup>
                <m:ctrlPr>
                  <w:rPr>
                    <w:rFonts w:ascii="DejaVu Math TeX Gyre" w:hAnsi="DejaVu Math TeX Gyre" w:eastAsia="仿宋_GB2312" w:cs="仿宋_GB2312"/>
                    <w:i w:val="0"/>
                    <w:sz w:val="32"/>
                    <w:szCs w:val="32"/>
                  </w:rPr>
                </m:ctrlPr>
              </m:sup>
              <m:e>
                <m:r>
                  <m:rPr>
                    <m:sty m:val="p"/>
                  </m:rPr>
                  <w:rPr>
                    <w:rFonts w:hint="eastAsia" w:ascii="DejaVu Math TeX Gyre" w:hAnsi="DejaVu Math TeX Gyre" w:eastAsia="仿宋_GB2312" w:cs="仿宋_GB2312"/>
                    <w:sz w:val="32"/>
                    <w:szCs w:val="32"/>
                    <w:lang w:eastAsia="zh-CN"/>
                  </w:rPr>
                  <m:t>分配系数</m:t>
                </m:r>
                <m:ctrlPr>
                  <w:rPr>
                    <w:rFonts w:ascii="DejaVu Math TeX Gyre" w:hAnsi="DejaVu Math TeX Gyre" w:eastAsia="仿宋_GB2312" w:cs="仿宋_GB2312"/>
                    <w:i w:val="0"/>
                    <w:sz w:val="32"/>
                    <w:szCs w:val="32"/>
                  </w:rPr>
                </m:ctrlPr>
              </m:e>
            </m:nary>
            <m:ctrlPr>
              <w:rPr>
                <w:rFonts w:ascii="DejaVu Math TeX Gyre" w:hAnsi="DejaVu Math TeX Gyre" w:eastAsia="仿宋_GB2312" w:cs="仿宋_GB2312"/>
                <w:i w:val="0"/>
                <w:sz w:val="32"/>
                <w:szCs w:val="32"/>
              </w:rPr>
            </m:ctrlPr>
          </m:den>
        </m:f>
      </m:oMath>
    </w:p>
    <w:p>
      <w:pPr>
        <w:keepNext w:val="0"/>
        <w:keepLines w:val="0"/>
        <w:pageBreakBefore w:val="0"/>
        <w:widowControl w:val="0"/>
        <w:kinsoku/>
        <w:wordWrap/>
        <w:overflowPunct/>
        <w:topLinePunct w:val="0"/>
        <w:autoSpaceDE/>
        <w:autoSpaceDN/>
        <w:bidi w:val="0"/>
        <w:adjustRightInd/>
        <w:snapToGrid/>
        <w:spacing w:line="588"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其中：分配系数=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60周岁以上老年人数量因素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lang w:val="en-US" w:eastAsia="zh-CN"/>
        </w:rPr>
        <w:t>+低收入老年人数量</w:t>
      </w:r>
      <w:r>
        <w:rPr>
          <w:rFonts w:hint="eastAsia" w:ascii="仿宋_GB2312" w:hAnsi="仿宋_GB2312" w:eastAsia="仿宋_GB2312" w:cs="仿宋_GB2312"/>
          <w:sz w:val="32"/>
          <w:szCs w:val="32"/>
          <w:highlight w:val="none"/>
          <w:lang w:val="en-US" w:eastAsia="zh-CN"/>
        </w:rPr>
        <w:t>因素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lang w:val="en-US" w:eastAsia="zh-CN"/>
        </w:rPr>
        <w:t>+失能部分失能老年人数量</w:t>
      </w:r>
      <w:r>
        <w:rPr>
          <w:rFonts w:hint="eastAsia" w:ascii="仿宋_GB2312" w:hAnsi="仿宋_GB2312" w:eastAsia="仿宋_GB2312" w:cs="仿宋_GB2312"/>
          <w:sz w:val="32"/>
          <w:szCs w:val="32"/>
          <w:highlight w:val="none"/>
          <w:lang w:val="en-US" w:eastAsia="zh-CN"/>
        </w:rPr>
        <w:t>因素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lang w:val="en-US" w:eastAsia="zh-CN"/>
        </w:rPr>
        <w:t>居家和社区养老服务设施数量</w:t>
      </w:r>
      <w:r>
        <w:rPr>
          <w:rFonts w:hint="eastAsia" w:ascii="仿宋_GB2312" w:hAnsi="仿宋_GB2312" w:eastAsia="仿宋_GB2312" w:cs="仿宋_GB2312"/>
          <w:sz w:val="32"/>
          <w:szCs w:val="32"/>
          <w:highlight w:val="none"/>
          <w:lang w:val="en-US" w:eastAsia="zh-CN"/>
        </w:rPr>
        <w:t>因素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财政困难程度系数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8" w:lineRule="atLeas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lang w:val="en-US" w:eastAsia="zh-CN"/>
        </w:rPr>
        <w:t>2022年起，可在年度预算规模内单独安排部分资金，用于对上一年度工作考核结果特别优秀的项目地区给予奖励，奖励资金在获奖励项目地区间平均分配。奖励资金总额综合考虑拟奖励地区数量等情况确定，不高于年度预算规模的5%。</w:t>
      </w:r>
    </w:p>
    <w:p>
      <w:pPr>
        <w:keepNext w:val="0"/>
        <w:keepLines w:val="0"/>
        <w:pageBreakBefore w:val="0"/>
        <w:widowControl w:val="0"/>
        <w:numPr>
          <w:ilvl w:val="0"/>
          <w:numId w:val="1"/>
        </w:numPr>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省级财政部门</w:t>
      </w:r>
      <w:r>
        <w:rPr>
          <w:rFonts w:hint="eastAsia" w:ascii="仿宋_GB2312" w:hAnsi="仿宋_GB2312" w:eastAsia="仿宋_GB2312" w:cs="仿宋_GB2312"/>
          <w:sz w:val="32"/>
          <w:szCs w:val="32"/>
        </w:rPr>
        <w:t>收到</w:t>
      </w:r>
      <w:r>
        <w:rPr>
          <w:rFonts w:hint="eastAsia" w:ascii="仿宋_GB2312" w:hAnsi="仿宋_GB2312" w:eastAsia="仿宋_GB2312" w:cs="仿宋_GB2312"/>
          <w:sz w:val="32"/>
          <w:szCs w:val="32"/>
          <w:lang w:eastAsia="zh-CN"/>
        </w:rPr>
        <w:t>项目资金预算文件</w:t>
      </w:r>
      <w:r>
        <w:rPr>
          <w:rFonts w:hint="eastAsia" w:ascii="仿宋_GB2312" w:hAnsi="仿宋_GB2312" w:eastAsia="仿宋_GB2312" w:cs="仿宋_GB2312"/>
          <w:sz w:val="32"/>
          <w:szCs w:val="32"/>
        </w:rPr>
        <w:t>后，应</w:t>
      </w:r>
      <w:r>
        <w:rPr>
          <w:rFonts w:hint="eastAsia" w:ascii="仿宋_GB2312" w:hAnsi="仿宋_GB2312" w:eastAsia="仿宋_GB2312" w:cs="仿宋_GB2312"/>
          <w:sz w:val="32"/>
          <w:szCs w:val="32"/>
          <w:lang w:eastAsia="zh-CN"/>
        </w:rPr>
        <w:t>当根据《中华人民共和国预算法》等规定，按时将项目资金正式分解</w:t>
      </w:r>
      <w:r>
        <w:rPr>
          <w:rFonts w:hint="eastAsia" w:ascii="仿宋_GB2312" w:hAnsi="仿宋_GB2312" w:eastAsia="仿宋_GB2312" w:cs="仿宋_GB2312"/>
          <w:sz w:val="32"/>
          <w:szCs w:val="32"/>
        </w:rPr>
        <w:t>下达到项目地区，</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将资金分配</w:t>
      </w:r>
      <w:r>
        <w:rPr>
          <w:rFonts w:hint="eastAsia" w:ascii="仿宋_GB2312" w:hAnsi="仿宋_GB2312" w:eastAsia="仿宋_GB2312" w:cs="仿宋_GB2312"/>
          <w:sz w:val="32"/>
          <w:szCs w:val="32"/>
          <w:lang w:eastAsia="zh-CN"/>
        </w:rPr>
        <w:t>文件抄送财政部当地监管局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8" w:lineRule="atLeas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 xml:space="preserve">    第十一条 </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highlight w:val="none"/>
        </w:rPr>
        <w:t>资金用于以下</w:t>
      </w:r>
      <w:r>
        <w:rPr>
          <w:rFonts w:hint="eastAsia" w:ascii="仿宋_GB2312" w:hAnsi="仿宋_GB2312" w:eastAsia="仿宋_GB2312" w:cs="仿宋_GB2312"/>
          <w:sz w:val="32"/>
          <w:szCs w:val="32"/>
          <w:highlight w:val="none"/>
          <w:lang w:eastAsia="zh-CN"/>
        </w:rPr>
        <w:t>方面支出</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Cs/>
          <w:kern w:val="0"/>
          <w:sz w:val="32"/>
          <w:szCs w:val="32"/>
          <w:highlight w:val="none"/>
        </w:rPr>
        <w:t>（一）家庭养老床位</w:t>
      </w:r>
      <w:r>
        <w:rPr>
          <w:rFonts w:hint="eastAsia" w:ascii="仿宋_GB2312" w:hAnsi="仿宋_GB2312" w:eastAsia="仿宋_GB2312" w:cs="仿宋_GB2312"/>
          <w:bCs/>
          <w:kern w:val="0"/>
          <w:sz w:val="32"/>
          <w:szCs w:val="32"/>
          <w:highlight w:val="none"/>
          <w:lang w:eastAsia="zh-CN"/>
        </w:rPr>
        <w:t>建设</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sz w:val="32"/>
          <w:szCs w:val="32"/>
          <w:highlight w:val="none"/>
        </w:rPr>
        <w:t>支持项目地区</w:t>
      </w:r>
      <w:r>
        <w:rPr>
          <w:rFonts w:hint="eastAsia" w:ascii="仿宋_GB2312" w:hAnsi="仿宋_GB2312" w:eastAsia="仿宋_GB2312" w:cs="仿宋_GB2312"/>
          <w:sz w:val="32"/>
          <w:szCs w:val="32"/>
          <w:highlight w:val="none"/>
          <w:lang w:eastAsia="zh-CN"/>
        </w:rPr>
        <w:t>为符合条件的经济困难</w:t>
      </w:r>
      <w:r>
        <w:rPr>
          <w:rFonts w:hint="eastAsia" w:ascii="仿宋_GB2312" w:hAnsi="仿宋_GB2312" w:eastAsia="仿宋_GB2312" w:cs="仿宋_GB2312"/>
          <w:sz w:val="32"/>
          <w:szCs w:val="32"/>
          <w:highlight w:val="none"/>
        </w:rPr>
        <w:t>失能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部分失能老年人建设家庭养老床位，</w:t>
      </w:r>
      <w:r>
        <w:rPr>
          <w:rFonts w:hint="eastAsia" w:ascii="仿宋_GB2312" w:hAnsi="仿宋_GB2312" w:eastAsia="仿宋_GB2312" w:cs="仿宋_GB2312"/>
          <w:sz w:val="32"/>
          <w:szCs w:val="32"/>
          <w:highlight w:val="none"/>
          <w:lang w:eastAsia="zh-CN"/>
        </w:rPr>
        <w:t>对其经常活动的居家场所</w:t>
      </w:r>
      <w:r>
        <w:rPr>
          <w:rFonts w:hint="eastAsia" w:ascii="仿宋_GB2312" w:hAnsi="仿宋_GB2312" w:eastAsia="仿宋_GB2312" w:cs="仿宋_GB2312"/>
          <w:sz w:val="32"/>
          <w:szCs w:val="32"/>
          <w:highlight w:val="none"/>
        </w:rPr>
        <w:t>进行适老化</w:t>
      </w:r>
      <w:r>
        <w:rPr>
          <w:rFonts w:hint="eastAsia" w:ascii="仿宋_GB2312" w:hAnsi="仿宋_GB2312" w:eastAsia="仿宋_GB2312" w:cs="仿宋_GB2312"/>
          <w:sz w:val="32"/>
          <w:szCs w:val="32"/>
          <w:highlight w:val="none"/>
          <w:lang w:eastAsia="zh-CN"/>
        </w:rPr>
        <w:t>改造和</w:t>
      </w:r>
      <w:r>
        <w:rPr>
          <w:rFonts w:hint="eastAsia" w:ascii="仿宋_GB2312" w:hAnsi="仿宋_GB2312" w:eastAsia="仿宋_GB2312" w:cs="仿宋_GB2312"/>
          <w:sz w:val="32"/>
          <w:szCs w:val="32"/>
          <w:highlight w:val="none"/>
        </w:rPr>
        <w:t>信息化改造。</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（二）居家养老上门服务。</w:t>
      </w:r>
      <w:r>
        <w:rPr>
          <w:rFonts w:hint="eastAsia" w:ascii="仿宋_GB2312" w:hAnsi="仿宋_GB2312" w:eastAsia="仿宋_GB2312" w:cs="仿宋_GB2312"/>
          <w:sz w:val="32"/>
          <w:szCs w:val="32"/>
          <w:highlight w:val="none"/>
        </w:rPr>
        <w:t>支持项目地区以</w:t>
      </w:r>
      <w:r>
        <w:rPr>
          <w:rFonts w:hint="eastAsia" w:ascii="仿宋_GB2312" w:hAnsi="仿宋_GB2312" w:eastAsia="仿宋_GB2312" w:cs="仿宋_GB2312"/>
          <w:sz w:val="32"/>
          <w:szCs w:val="32"/>
          <w:highlight w:val="none"/>
          <w:lang w:eastAsia="zh-CN"/>
        </w:rPr>
        <w:t>提供相关服务的专业</w:t>
      </w:r>
      <w:r>
        <w:rPr>
          <w:rFonts w:hint="eastAsia" w:ascii="仿宋_GB2312" w:hAnsi="仿宋_GB2312" w:eastAsia="仿宋_GB2312" w:cs="仿宋_GB2312"/>
          <w:sz w:val="32"/>
          <w:szCs w:val="32"/>
          <w:highlight w:val="none"/>
        </w:rPr>
        <w:t>机构为依托，为</w:t>
      </w:r>
      <w:r>
        <w:rPr>
          <w:rFonts w:hint="eastAsia" w:ascii="仿宋_GB2312" w:hAnsi="仿宋_GB2312" w:eastAsia="仿宋_GB2312" w:cs="仿宋_GB2312"/>
          <w:sz w:val="32"/>
          <w:szCs w:val="32"/>
          <w:highlight w:val="none"/>
          <w:lang w:eastAsia="zh-CN"/>
        </w:rPr>
        <w:t>符合条件的经济困难</w:t>
      </w:r>
      <w:r>
        <w:rPr>
          <w:rFonts w:hint="eastAsia" w:ascii="仿宋_GB2312" w:hAnsi="仿宋_GB2312" w:eastAsia="仿宋_GB2312" w:cs="仿宋_GB2312"/>
          <w:sz w:val="32"/>
          <w:szCs w:val="32"/>
          <w:highlight w:val="none"/>
        </w:rPr>
        <w:t>失能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部分失能老年人提供助餐、助洁、助行、助浴、助医、</w:t>
      </w:r>
      <w:r>
        <w:rPr>
          <w:rFonts w:hint="eastAsia" w:ascii="仿宋_GB2312" w:hAnsi="仿宋_GB2312" w:eastAsia="仿宋_GB2312" w:cs="仿宋_GB2312"/>
          <w:sz w:val="32"/>
          <w:szCs w:val="32"/>
          <w:highlight w:val="none"/>
          <w:lang w:eastAsia="zh-CN"/>
        </w:rPr>
        <w:t>康复、</w:t>
      </w:r>
      <w:r>
        <w:rPr>
          <w:rFonts w:hint="eastAsia" w:ascii="仿宋_GB2312" w:hAnsi="仿宋_GB2312" w:eastAsia="仿宋_GB2312" w:cs="仿宋_GB2312"/>
          <w:sz w:val="32"/>
          <w:szCs w:val="32"/>
          <w:highlight w:val="none"/>
        </w:rPr>
        <w:t>巡访关爱等上门服务。</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highlight w:val="none"/>
          <w:lang w:eastAsia="zh-CN"/>
        </w:rPr>
        <w:t>资金的支付按照</w:t>
      </w:r>
      <w:r>
        <w:rPr>
          <w:rFonts w:hint="eastAsia" w:ascii="仿宋_GB2312" w:hAnsi="仿宋_GB2312" w:eastAsia="仿宋_GB2312" w:cs="仿宋_GB2312"/>
          <w:sz w:val="32"/>
          <w:szCs w:val="32"/>
          <w:highlight w:val="none"/>
        </w:rPr>
        <w:t>国库集中支付制度有关规定执行。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88" w:lineRule="atLeas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lang w:val="en-US" w:eastAsia="zh-CN"/>
        </w:rPr>
        <w:t xml:space="preserve">    第十二条 </w:t>
      </w:r>
      <w:r>
        <w:rPr>
          <w:rFonts w:hint="eastAsia" w:ascii="仿宋_GB2312" w:hAnsi="仿宋_GB2312" w:eastAsia="仿宋_GB2312" w:cs="仿宋_GB2312"/>
          <w:sz w:val="32"/>
          <w:szCs w:val="32"/>
          <w:u w:val="none"/>
          <w:lang w:eastAsia="zh-CN"/>
        </w:rPr>
        <w:t>项目地区财政、民政部门</w:t>
      </w:r>
      <w:r>
        <w:rPr>
          <w:rFonts w:hint="eastAsia" w:ascii="仿宋_GB2312" w:hAnsi="仿宋_GB2312" w:eastAsia="仿宋_GB2312" w:cs="仿宋_GB2312"/>
          <w:sz w:val="32"/>
          <w:szCs w:val="32"/>
          <w:lang w:eastAsia="zh-CN"/>
        </w:rPr>
        <w:t>应严格按规定使用项目资金，不得擅自扩大支出范围，</w:t>
      </w:r>
      <w:r>
        <w:rPr>
          <w:rFonts w:hint="eastAsia" w:ascii="仿宋_GB2312" w:hAnsi="仿宋_GB2312" w:eastAsia="仿宋_GB2312" w:cs="仿宋_GB2312"/>
          <w:sz w:val="32"/>
          <w:szCs w:val="32"/>
        </w:rPr>
        <w:t>不得将</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资金用于</w:t>
      </w:r>
      <w:r>
        <w:rPr>
          <w:rFonts w:hint="eastAsia" w:ascii="仿宋_GB2312" w:hAnsi="仿宋_GB2312" w:eastAsia="仿宋_GB2312" w:cs="仿宋_GB2312"/>
          <w:sz w:val="32"/>
          <w:szCs w:val="32"/>
          <w:lang w:eastAsia="zh-CN"/>
        </w:rPr>
        <w:t>《彩票公益金管理办法》等规定禁止列支的支出</w:t>
      </w:r>
      <w:r>
        <w:rPr>
          <w:rFonts w:hint="eastAsia" w:ascii="仿宋_GB2312" w:hAnsi="仿宋_GB2312" w:eastAsia="仿宋_GB2312" w:cs="仿宋_GB2312"/>
          <w:sz w:val="32"/>
          <w:szCs w:val="32"/>
        </w:rPr>
        <w:t>，不得在</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资金中提取工作经费。</w:t>
      </w:r>
      <w:r>
        <w:rPr>
          <w:rFonts w:hint="eastAsia" w:ascii="仿宋_GB2312" w:hAnsi="仿宋_GB2312" w:eastAsia="仿宋_GB2312" w:cs="仿宋_GB2312"/>
          <w:sz w:val="32"/>
          <w:szCs w:val="32"/>
          <w:lang w:eastAsia="zh-CN"/>
        </w:rPr>
        <w:t>不得以任何形式挪用、截留和滞留项目资金。除应由服务对象自行承担的服务费用外，不得向其收取任何项目管理费用。</w:t>
      </w:r>
    </w:p>
    <w:p>
      <w:pPr>
        <w:keepNext w:val="0"/>
        <w:keepLines w:val="0"/>
        <w:pageBreakBefore w:val="0"/>
        <w:widowControl w:val="0"/>
        <w:numPr>
          <w:ilvl w:val="0"/>
          <w:numId w:val="0"/>
        </w:numPr>
        <w:kinsoku/>
        <w:wordWrap/>
        <w:overflowPunct/>
        <w:topLinePunct w:val="0"/>
        <w:autoSpaceDE/>
        <w:autoSpaceDN/>
        <w:bidi w:val="0"/>
        <w:adjustRightInd/>
        <w:snapToGrid/>
        <w:spacing w:line="588"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资金使用</w:t>
      </w:r>
      <w:r>
        <w:rPr>
          <w:rFonts w:hint="eastAsia" w:ascii="仿宋_GB2312" w:hAnsi="仿宋_GB2312" w:eastAsia="仿宋_GB2312" w:cs="仿宋_GB2312"/>
          <w:sz w:val="32"/>
          <w:szCs w:val="32"/>
          <w:lang w:eastAsia="zh-CN"/>
        </w:rPr>
        <w:t>过程中涉及</w:t>
      </w:r>
      <w:r>
        <w:rPr>
          <w:rFonts w:hint="eastAsia" w:ascii="仿宋_GB2312" w:hAnsi="仿宋_GB2312" w:eastAsia="仿宋_GB2312" w:cs="仿宋_GB2312"/>
          <w:sz w:val="32"/>
          <w:szCs w:val="32"/>
        </w:rPr>
        <w:t>政府采购的，按照政府采购</w:t>
      </w:r>
      <w:r>
        <w:rPr>
          <w:rFonts w:hint="eastAsia" w:ascii="仿宋_GB2312" w:hAnsi="仿宋_GB2312" w:eastAsia="仿宋_GB2312" w:cs="仿宋_GB2312"/>
          <w:sz w:val="32"/>
          <w:szCs w:val="32"/>
          <w:lang w:eastAsia="zh-CN"/>
        </w:rPr>
        <w:t>法律制度</w:t>
      </w:r>
      <w:r>
        <w:rPr>
          <w:rFonts w:hint="eastAsia" w:ascii="仿宋_GB2312" w:hAnsi="仿宋_GB2312" w:eastAsia="仿宋_GB2312" w:cs="仿宋_GB2312"/>
          <w:sz w:val="32"/>
          <w:szCs w:val="32"/>
        </w:rPr>
        <w:t>规定执行。鼓励各地按照《</w:t>
      </w:r>
      <w:r>
        <w:rPr>
          <w:rFonts w:hint="eastAsia" w:ascii="仿宋_GB2312" w:hAnsi="仿宋_GB2312" w:eastAsia="仿宋_GB2312" w:cs="仿宋_GB2312"/>
          <w:sz w:val="32"/>
          <w:szCs w:val="32"/>
          <w:lang w:eastAsia="zh-CN"/>
        </w:rPr>
        <w:t>政府购买服务管理办法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财政部令第</w:t>
      </w:r>
      <w:r>
        <w:rPr>
          <w:rFonts w:hint="eastAsia" w:ascii="仿宋_GB2312" w:hAnsi="仿宋_GB2312" w:eastAsia="仿宋_GB2312" w:cs="仿宋_GB2312"/>
          <w:sz w:val="32"/>
          <w:szCs w:val="32"/>
          <w:lang w:val="en-US" w:eastAsia="zh-CN"/>
        </w:rPr>
        <w:t>102号</w:t>
      </w:r>
      <w:r>
        <w:rPr>
          <w:rFonts w:hint="eastAsia" w:ascii="仿宋_GB2312" w:hAnsi="仿宋_GB2312" w:eastAsia="仿宋_GB2312" w:cs="仿宋_GB2312"/>
          <w:sz w:val="32"/>
          <w:szCs w:val="32"/>
        </w:rPr>
        <w:t>)等规定，通过政府购买服务的方式引导社会力量参与提供居家及社区养老服务。</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kern w:val="2"/>
          <w:sz w:val="32"/>
          <w:szCs w:val="32"/>
          <w:lang w:val="en-US" w:eastAsia="zh-CN" w:bidi="ar-SA"/>
        </w:rPr>
        <w:t>项目资金资助的基本建设设施、设备或者社会公益活动等，应当以显著方式标明“彩票公益金资助—中国福利彩票和中国体育彩票”标识。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8" w:lineRule="atLeas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u w:val="none"/>
          <w:lang w:eastAsia="zh-CN"/>
        </w:rPr>
        <w:t>地方各级财政、民政部门</w:t>
      </w:r>
      <w:r>
        <w:rPr>
          <w:rFonts w:hint="eastAsia" w:ascii="仿宋_GB2312" w:hAnsi="仿宋_GB2312" w:eastAsia="仿宋_GB2312" w:cs="仿宋_GB2312"/>
          <w:sz w:val="32"/>
          <w:szCs w:val="32"/>
          <w:lang w:eastAsia="zh-CN"/>
        </w:rPr>
        <w:t>应切实采取措施，加快项目资金预算执行进度。有关结转结余资金管理按照《国务院办公厅关于进一步做好盘活财政存量资金工作的通知》（国办发〔2014〕70号）、《财政部关于推进地方盘活财政存量资金有关事项的通知》（财预〔2015〕15号）等规定执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8"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b w:val="0"/>
          <w:bCs w:val="0"/>
          <w:sz w:val="32"/>
          <w:szCs w:val="32"/>
          <w:lang w:eastAsia="zh-CN"/>
        </w:rPr>
        <w:t>各级民政、财政部门应当按照全面实施预算绩效管理的要求，建立健全预算绩效管理机制，加强绩效目标管理，依职责组织做好区域绩效目标分解下达、绩效监控及绩效评价工作，强化评价结果应用，加大绩效信息公开力度，提高资金配置效率和使用效益。民政部指导省级民政部门做好全过程预算绩效管理工作。财政部、民政部根据工作需要适时组织开展重点绩效评价，将评价结果作为预算安排、完善政策、改进管理的重要依据。</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eastAsia="zh-CN"/>
        </w:rPr>
        <w:t>各级</w:t>
      </w:r>
      <w:r>
        <w:rPr>
          <w:rFonts w:hint="eastAsia" w:ascii="仿宋_GB2312" w:hAnsi="仿宋_GB2312" w:eastAsia="仿宋_GB2312" w:cs="仿宋_GB2312"/>
          <w:sz w:val="32"/>
          <w:szCs w:val="32"/>
          <w:u w:val="none"/>
        </w:rPr>
        <w:t>财政、</w:t>
      </w:r>
      <w:r>
        <w:rPr>
          <w:rFonts w:hint="eastAsia" w:ascii="仿宋_GB2312" w:hAnsi="仿宋_GB2312" w:eastAsia="仿宋_GB2312" w:cs="仿宋_GB2312"/>
          <w:sz w:val="32"/>
          <w:szCs w:val="32"/>
          <w:u w:val="none"/>
          <w:lang w:eastAsia="zh-CN"/>
        </w:rPr>
        <w:t>民政部门</w:t>
      </w:r>
      <w:r>
        <w:rPr>
          <w:rFonts w:hint="eastAsia" w:ascii="仿宋_GB2312" w:hAnsi="仿宋_GB2312" w:eastAsia="仿宋_GB2312" w:cs="仿宋_GB2312"/>
          <w:sz w:val="32"/>
          <w:szCs w:val="32"/>
        </w:rPr>
        <w:t>应当建立健全资金监管</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，切实加强</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资金的预算执行和监督管理工作，任何单位和个人不得</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冒领</w:t>
      </w:r>
      <w:r>
        <w:rPr>
          <w:rFonts w:hint="eastAsia" w:ascii="仿宋_GB2312" w:hAnsi="仿宋_GB2312" w:eastAsia="仿宋_GB2312" w:cs="仿宋_GB2312"/>
          <w:sz w:val="32"/>
          <w:szCs w:val="32"/>
          <w:lang w:eastAsia="zh-CN"/>
        </w:rPr>
        <w:t>等手段骗取项目</w:t>
      </w:r>
      <w:r>
        <w:rPr>
          <w:rFonts w:hint="eastAsia" w:ascii="仿宋_GB2312" w:hAnsi="仿宋_GB2312" w:eastAsia="仿宋_GB2312" w:cs="仿宋_GB2312"/>
          <w:sz w:val="32"/>
          <w:szCs w:val="32"/>
        </w:rPr>
        <w:t>资金。财政部各地监管局在规定的职权范围内，依法对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资金的使用管理情况进行监督。</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b w:val="0"/>
          <w:bCs w:val="0"/>
          <w:sz w:val="32"/>
          <w:szCs w:val="32"/>
        </w:rPr>
        <w:t>民政部应于每年3月底前向财政部报送上一年度项目资金使用情况。具体内容包括：项目组织实施情况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项目资金使用和结余情况、项目社会效益和经济效益、项目绩效评价情况。</w:t>
      </w:r>
    </w:p>
    <w:p>
      <w:pPr>
        <w:keepNext w:val="0"/>
        <w:keepLines w:val="0"/>
        <w:pageBreakBefore w:val="0"/>
        <w:widowControl w:val="0"/>
        <w:kinsoku/>
        <w:wordWrap/>
        <w:overflowPunct/>
        <w:topLinePunct w:val="0"/>
        <w:autoSpaceDE/>
        <w:autoSpaceDN/>
        <w:bidi w:val="0"/>
        <w:adjustRightInd/>
        <w:snapToGrid/>
        <w:spacing w:line="588"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民政部应于每年6月底前，向社会公告上一年度项目资金支出规模、家庭养老床位建设和居家养老上门服务的具体项目内容、项目地区、执行情况、项目支出绩效目标及绩效目标完成情况等。</w:t>
      </w:r>
    </w:p>
    <w:p>
      <w:pPr>
        <w:keepNext w:val="0"/>
        <w:keepLines w:val="0"/>
        <w:pageBreakBefore w:val="0"/>
        <w:widowControl w:val="0"/>
        <w:kinsoku/>
        <w:wordWrap/>
        <w:overflowPunct/>
        <w:topLinePunct w:val="0"/>
        <w:autoSpaceDE/>
        <w:autoSpaceDN/>
        <w:bidi w:val="0"/>
        <w:adjustRightInd/>
        <w:snapToGrid/>
        <w:spacing w:line="588"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 xml:space="preserve">    第二十条 </w:t>
      </w:r>
      <w:r>
        <w:rPr>
          <w:rFonts w:hint="eastAsia" w:ascii="仿宋_GB2312" w:hAnsi="仿宋_GB2312" w:eastAsia="仿宋_GB2312" w:cs="仿宋_GB2312"/>
          <w:sz w:val="32"/>
          <w:szCs w:val="32"/>
          <w:u w:val="none"/>
        </w:rPr>
        <w:t>各级财政、民政部门</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自觉接受审计</w:t>
      </w:r>
      <w:r>
        <w:rPr>
          <w:rFonts w:hint="eastAsia" w:ascii="仿宋_GB2312" w:hAnsi="仿宋_GB2312" w:eastAsia="仿宋_GB2312" w:cs="仿宋_GB2312"/>
          <w:sz w:val="32"/>
          <w:szCs w:val="32"/>
          <w:lang w:eastAsia="zh-CN"/>
        </w:rPr>
        <w:t>、监察</w:t>
      </w:r>
      <w:r>
        <w:rPr>
          <w:rFonts w:hint="eastAsia" w:ascii="仿宋_GB2312" w:hAnsi="仿宋_GB2312" w:eastAsia="仿宋_GB2312" w:cs="仿宋_GB2312"/>
          <w:sz w:val="32"/>
          <w:szCs w:val="32"/>
        </w:rPr>
        <w:t>等部门</w:t>
      </w:r>
      <w:r>
        <w:rPr>
          <w:rFonts w:hint="eastAsia" w:ascii="仿宋_GB2312" w:hAnsi="仿宋_GB2312" w:eastAsia="仿宋_GB2312" w:cs="仿宋_GB2312"/>
          <w:sz w:val="32"/>
          <w:szCs w:val="32"/>
          <w:lang w:eastAsia="zh-CN"/>
        </w:rPr>
        <w:t>和社会公众</w:t>
      </w:r>
      <w:r>
        <w:rPr>
          <w:rFonts w:hint="eastAsia" w:ascii="仿宋_GB2312" w:hAnsi="仿宋_GB2312" w:eastAsia="仿宋_GB2312" w:cs="仿宋_GB2312"/>
          <w:sz w:val="32"/>
          <w:szCs w:val="32"/>
        </w:rPr>
        <w:t>的监督。</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各级财政、</w:t>
      </w:r>
      <w:r>
        <w:rPr>
          <w:rFonts w:hint="eastAsia" w:ascii="仿宋_GB2312" w:hAnsi="仿宋_GB2312" w:eastAsia="仿宋_GB2312" w:cs="仿宋_GB2312"/>
          <w:sz w:val="32"/>
          <w:szCs w:val="32"/>
          <w:u w:val="none"/>
          <w:lang w:eastAsia="zh-CN"/>
        </w:rPr>
        <w:t>民政</w:t>
      </w: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rPr>
        <w:t>及其工作人员在</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资金的分配审核、使用管理等工作中，存在违反本办法规定的行为，以及其他滥用职权、玩忽职守、徇私舞弊等行为的，应当依法追究相应责任。</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二十一</w:t>
      </w:r>
      <w:r>
        <w:rPr>
          <w:rFonts w:hint="eastAsia" w:ascii="仿宋_GB2312" w:hAnsi="仿宋_GB2312" w:eastAsia="仿宋_GB2312" w:cs="仿宋_GB2312"/>
          <w:sz w:val="32"/>
          <w:szCs w:val="32"/>
        </w:rPr>
        <w:t>条 本办法由财政部会同民政部负责解释。</w:t>
      </w:r>
    </w:p>
    <w:p>
      <w:pPr>
        <w:keepNext w:val="0"/>
        <w:keepLines w:val="0"/>
        <w:pageBreakBefore w:val="0"/>
        <w:widowControl w:val="0"/>
        <w:kinsoku/>
        <w:wordWrap/>
        <w:overflowPunct/>
        <w:topLinePunct w:val="0"/>
        <w:autoSpaceDE/>
        <w:autoSpaceDN/>
        <w:bidi w:val="0"/>
        <w:adjustRightInd/>
        <w:snapToGrid/>
        <w:spacing w:line="588"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二十二</w:t>
      </w:r>
      <w:r>
        <w:rPr>
          <w:rFonts w:hint="eastAsia" w:ascii="仿宋_GB2312" w:hAnsi="仿宋_GB2312" w:eastAsia="仿宋_GB2312" w:cs="仿宋_GB2312"/>
          <w:sz w:val="32"/>
          <w:szCs w:val="32"/>
        </w:rPr>
        <w:t>条 本办法自2021年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日起施行。</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70611"/>
    <w:multiLevelType w:val="singleLevel"/>
    <w:tmpl w:val="FB070611"/>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722C0"/>
    <w:rsid w:val="2FF722C0"/>
    <w:rsid w:val="3E7FE6A3"/>
    <w:rsid w:val="6EE3B665"/>
    <w:rsid w:val="777D76D3"/>
    <w:rsid w:val="7FF78F16"/>
    <w:rsid w:val="7FFF8CC5"/>
    <w:rsid w:val="D3FF87E5"/>
    <w:rsid w:val="D9FA08A4"/>
    <w:rsid w:val="DDBF31FB"/>
    <w:rsid w:val="EF9E9F51"/>
    <w:rsid w:val="EFE72F34"/>
    <w:rsid w:val="F5F79E45"/>
    <w:rsid w:val="FBFB04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2643</Words>
  <Characters>2681</Characters>
  <Lines>1</Lines>
  <Paragraphs>1</Paragraphs>
  <TotalTime>1</TotalTime>
  <ScaleCrop>false</ScaleCrop>
  <LinksUpToDate>false</LinksUpToDate>
  <CharactersWithSpaces>2745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2021-05-29T18:19:00Z</dcterms:created>
  <dc:creator>fanxt</dc:creator>
  <cp:lastModifiedBy>fanxt</cp:lastModifiedBy>
  <cp:lastPrinted>2021-05-29T17:56:00Z</cp:lastPrinted>
  <dcterms:modified xsi:type="dcterms:W3CDTF">2021-06-22T10:37:42Z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