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jc w:val="left"/>
        <w:rPr>
          <w:rFonts w:hint="eastAsia" w:ascii="仿宋_GB2312" w:hAnsi="仿宋_GB2312" w:eastAsia="仿宋_GB2312" w:cs="仿宋_GB2312"/>
          <w:sz w:val="36"/>
          <w:szCs w:val="36"/>
          <w:lang w:val="e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"/>
        </w:rPr>
        <w:t>附件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6"/>
          <w:szCs w:val="36"/>
          <w:lang w:val="en"/>
        </w:rPr>
        <w:t>：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ind w:firstLine="72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华文中宋" w:hAnsi="华文中宋" w:eastAsia="华文中宋" w:cs="华文中宋"/>
          <w:color w:val="000000" w:themeColor="text1"/>
          <w:sz w:val="36"/>
          <w:szCs w:val="36"/>
        </w:rPr>
        <w:t>2022年度行政事业性国有资产分析报告提纲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黑体" w:hAnsi="仿宋" w:eastAsia="黑体"/>
          <w:color w:val="000000" w:themeColor="text1"/>
          <w:sz w:val="32"/>
          <w:szCs w:val="32"/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</w:rPr>
        <w:t>部门/地区的基本情况</w:t>
      </w:r>
    </w:p>
    <w:p>
      <w:pPr>
        <w:widowControl/>
        <w:ind w:firstLine="640" w:firstLineChars="200"/>
        <w:rPr>
          <w:rFonts w:ascii="仿宋_GB2312" w:hAnsi="Times New Roman" w:eastAsia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</w:rPr>
        <w:t>分析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本部门、本地区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</w:rPr>
        <w:t>所属行政事业单位机构数、编制人数、实有人数等，中央部门还应写明部门主要职责。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黑体" w:eastAsia="黑体"/>
          <w:color w:val="000000" w:themeColor="text1"/>
          <w:sz w:val="32"/>
          <w:szCs w:val="32"/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</w:rPr>
        <w:t>资产</w:t>
      </w:r>
      <w:r>
        <w:rPr>
          <w:rFonts w:hint="eastAsia" w:ascii="黑体" w:hAnsi="仿宋" w:eastAsia="黑体"/>
          <w:color w:val="000000" w:themeColor="text1"/>
          <w:sz w:val="32"/>
          <w:szCs w:val="32"/>
          <w:lang w:eastAsia="zh-CN"/>
        </w:rPr>
        <w:t>总量</w:t>
      </w:r>
      <w:r>
        <w:rPr>
          <w:rFonts w:hint="eastAsia" w:ascii="黑体" w:hAnsi="仿宋" w:eastAsia="黑体"/>
          <w:color w:val="000000" w:themeColor="text1"/>
          <w:sz w:val="32"/>
          <w:szCs w:val="32"/>
        </w:rPr>
        <w:t>情况</w:t>
      </w:r>
    </w:p>
    <w:p>
      <w:pPr>
        <w:numPr>
          <w:ilvl w:val="0"/>
          <w:numId w:val="2"/>
        </w:numPr>
        <w:spacing w:line="360" w:lineRule="auto"/>
        <w:ind w:firstLine="633" w:firstLineChars="198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资产的总体情况分析。主要包括本部门、本地区资产总量、分布、构成、变动等情况，同时可结合预算收支、债务、历年情况等对资产分布、构成、变动的原因作出分析。其中</w:t>
      </w:r>
      <w:r>
        <w:rPr>
          <w:rFonts w:ascii="仿宋_GB2312" w:eastAsia="仿宋_GB2312"/>
          <w:color w:val="000000" w:themeColor="text1"/>
          <w:sz w:val="32"/>
          <w:szCs w:val="32"/>
        </w:rPr>
        <w:t>，构成情况包含流动资产、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无形资产</w:t>
      </w:r>
      <w:r>
        <w:rPr>
          <w:rFonts w:ascii="仿宋_GB2312" w:eastAsia="仿宋_GB2312"/>
          <w:color w:val="000000" w:themeColor="text1"/>
          <w:sz w:val="32"/>
          <w:szCs w:val="32"/>
        </w:rPr>
        <w:t>、固定资产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、在建工程、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长期投资、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公共基础设施、政府储备物资、文物文化资产、保障性住房、</w:t>
      </w:r>
      <w:r>
        <w:rPr>
          <w:rFonts w:ascii="仿宋_GB2312" w:eastAsia="仿宋_GB2312"/>
          <w:color w:val="000000" w:themeColor="text1"/>
          <w:sz w:val="32"/>
          <w:szCs w:val="32"/>
        </w:rPr>
        <w:t>PPP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项目资产等</w:t>
      </w:r>
      <w:r>
        <w:rPr>
          <w:rFonts w:ascii="仿宋_GB2312" w:eastAsia="仿宋_GB2312"/>
          <w:color w:val="000000" w:themeColor="text1"/>
          <w:sz w:val="32"/>
          <w:szCs w:val="32"/>
        </w:rPr>
        <w:t>占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资产总额比例</w:t>
      </w:r>
      <w:r>
        <w:rPr>
          <w:rFonts w:ascii="仿宋_GB2312" w:eastAsia="仿宋_GB2312"/>
          <w:color w:val="000000" w:themeColor="text1"/>
          <w:sz w:val="32"/>
          <w:szCs w:val="32"/>
        </w:rPr>
        <w:t>情况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。地方财政部门应对本地区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</w:rPr>
        <w:t>教育、卫生、文化、科技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</w:rPr>
        <w:t>交通等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重点行业进行分析。</w:t>
      </w:r>
    </w:p>
    <w:p>
      <w:pPr>
        <w:spacing w:line="360" w:lineRule="auto"/>
        <w:ind w:firstLine="633" w:firstLineChars="198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二）资产配置、使用、处置、收益情况分析。分析本部门、本地区资产整体配置、使用、处置、收益情况，特别是与部门、单位履行职能和促进行政管理、事业发展相关的重点资产的配置、使用、处置、收益等情况。</w:t>
      </w:r>
    </w:p>
    <w:p>
      <w:pPr>
        <w:tabs>
          <w:tab w:val="left" w:pos="8595"/>
        </w:tabs>
        <w:ind w:firstLine="640" w:firstLineChars="200"/>
        <w:rPr>
          <w:rFonts w:ascii="楷体_GB2312" w:hAnsi="楷体" w:eastAsia="仿宋_GB2312"/>
          <w:b/>
          <w:color w:val="000000" w:themeColor="text1"/>
          <w:kern w:val="0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（三）资产总体绩效情况。分析本部门、本地区资产整体配置效率和使用效益等。</w:t>
      </w:r>
    </w:p>
    <w:p>
      <w:pPr>
        <w:ind w:firstLine="720" w:firstLineChars="225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三、资产管理工作情况及成效</w:t>
      </w:r>
    </w:p>
    <w:p>
      <w:pPr>
        <w:pStyle w:val="17"/>
        <w:ind w:left="159" w:leftChars="76" w:firstLine="640"/>
        <w:rPr>
          <w:rFonts w:ascii="仿宋_GB2312" w:hAnsi="楷体" w:eastAsia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</w:rPr>
        <w:t>（一）认真总结本部门、本地区在制度制定、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lang w:eastAsia="zh-CN"/>
        </w:rPr>
        <w:t>全生命周期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</w:rPr>
        <w:t>管理以及信息化建设等方面的情况，重点反映加强资源统筹、提高资产运行绩效、强化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lang w:eastAsia="zh-CN"/>
        </w:rPr>
        <w:t>基础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</w:rPr>
        <w:t>管理等方面的举措。地方财政部门应对本地区资产管理信息系统建设情况和融入预算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lang w:eastAsia="zh-CN"/>
        </w:rPr>
        <w:t>管理</w:t>
      </w:r>
      <w:bookmarkStart w:id="0" w:name="_GoBack"/>
      <w:bookmarkEnd w:id="0"/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</w:rPr>
        <w:t>一体化系统的工作进行总结。</w:t>
      </w:r>
    </w:p>
    <w:p>
      <w:pPr>
        <w:pStyle w:val="17"/>
        <w:ind w:left="159" w:leftChars="76" w:firstLine="640"/>
        <w:rPr>
          <w:rFonts w:ascii="仿宋_GB2312" w:hAnsi="华文仿宋" w:eastAsia="仿宋_GB2312" w:cs="华文仿宋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</w:rPr>
        <w:t>（二）全面反映本部门、本地区行政事业性国有资产管理在贯彻落实党中央、国务院决策部署，保障行政运转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</w:rPr>
        <w:t>，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</w:rPr>
        <w:t>提供社会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</w:rPr>
        <w:t>公共服务以及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</w:rPr>
        <w:t>推进行政事业单位各项改革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</w:rPr>
        <w:t>等方面所发挥的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</w:rPr>
        <w:t>积极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</w:rPr>
        <w:t>作用。重点反映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</w:rPr>
        <w:t>教育、卫生、文化、科技等行业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</w:rPr>
        <w:t>资产在抗击新冠肺炎疫情、促进公共服务均等化、助力乡村振兴、提升创新能力等工作中发挥的作用。</w:t>
      </w:r>
    </w:p>
    <w:p>
      <w:pPr>
        <w:pStyle w:val="17"/>
        <w:ind w:left="159" w:leftChars="76" w:firstLine="640"/>
        <w:rPr>
          <w:rFonts w:ascii="仿宋_GB2312" w:hAnsi="楷体" w:eastAsia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</w:rPr>
        <w:t>（三）全面总结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</w:rPr>
        <w:t>本部门、本地区公共基础设施等行政事业性国有资产管理情况，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"/>
        </w:rPr>
        <w:t>重点反映公路资产、</w:t>
      </w:r>
      <w:r>
        <w:rPr>
          <w:rFonts w:ascii="仿宋_GB2312" w:eastAsia="仿宋_GB2312"/>
          <w:color w:val="000000" w:themeColor="text1"/>
          <w:sz w:val="32"/>
          <w:szCs w:val="32"/>
          <w:lang w:val="en"/>
        </w:rPr>
        <w:t>水利资产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"/>
        </w:rPr>
        <w:t>专项清查情况。</w:t>
      </w:r>
    </w:p>
    <w:p>
      <w:pPr>
        <w:pStyle w:val="17"/>
        <w:ind w:left="159" w:leftChars="76" w:firstLine="640"/>
        <w:rPr>
          <w:rFonts w:ascii="仿宋_GB2312" w:hAnsi="华文仿宋" w:eastAsia="仿宋_GB2312" w:cs="华文仿宋"/>
          <w:color w:val="000000" w:themeColor="text1"/>
          <w:kern w:val="0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（四）梳理</w:t>
      </w:r>
      <w:r>
        <w:rPr>
          <w:rFonts w:hint="eastAsia" w:ascii="仿宋_GB2312" w:hAnsi="华文仿宋" w:eastAsia="仿宋_GB2312" w:cs="华文仿宋"/>
          <w:bCs/>
          <w:color w:val="000000" w:themeColor="text1"/>
          <w:kern w:val="0"/>
          <w:sz w:val="32"/>
          <w:szCs w:val="32"/>
        </w:rPr>
        <w:t>人大、审计、巡视等提出的行政事业性国有资产管理问题及建议，总结整改措施和整改进展情况。</w:t>
      </w:r>
    </w:p>
    <w:p>
      <w:pPr>
        <w:spacing w:line="360" w:lineRule="auto"/>
        <w:ind w:firstLine="640" w:firstLineChars="200"/>
        <w:rPr>
          <w:rFonts w:hint="eastAsia" w:ascii="黑体" w:hAnsi="仿宋" w:eastAsia="黑体"/>
          <w:color w:val="000000" w:themeColor="text1"/>
          <w:sz w:val="32"/>
          <w:szCs w:val="32"/>
          <w:highlight w:val="none"/>
          <w:lang w:val="en" w:eastAsia="zh-CN"/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  <w:highlight w:val="none"/>
        </w:rPr>
        <w:t>四、</w:t>
      </w:r>
      <w:r>
        <w:rPr>
          <w:rFonts w:hint="eastAsia" w:ascii="黑体" w:hAnsi="仿宋" w:eastAsia="黑体"/>
          <w:color w:val="000000" w:themeColor="text1"/>
          <w:sz w:val="32"/>
          <w:szCs w:val="32"/>
          <w:highlight w:val="none"/>
          <w:lang w:eastAsia="zh-CN"/>
        </w:rPr>
        <w:t>资产盘活工作举措和成效</w:t>
      </w: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根据</w:t>
      </w:r>
      <w:r>
        <w:rPr>
          <w:rFonts w:hint="eastAsia" w:ascii="仿宋_GB2312" w:hAnsi="Calibri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《财政部关于盘活行政事业单位国有资产的指导意见》（财资〔2022〕124号）</w:t>
      </w:r>
      <w:r>
        <w:rPr>
          <w:rFonts w:hint="eastAsia" w:ascii="仿宋_GB2312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，汇总反映本部门、本地区推进行政事业单位国有资产盘活利用的相关举措和工作成效。</w:t>
      </w:r>
    </w:p>
    <w:p>
      <w:pPr>
        <w:spacing w:line="360" w:lineRule="auto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  <w:lang w:eastAsia="zh-CN"/>
        </w:rPr>
        <w:t>五、</w:t>
      </w: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</w:rPr>
        <w:t>资产管理工作存在的问题及建议</w:t>
      </w:r>
    </w:p>
    <w:p>
      <w:pPr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对照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highlight w:val="none"/>
        </w:rPr>
        <w:t>《行政事业性国有资产管理条例》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（国务院令第738号）等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</w:rPr>
        <w:t>规定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对</w:t>
      </w:r>
      <w:r>
        <w:rPr>
          <w:rFonts w:hint="eastAsia" w:ascii="仿宋_GB2312" w:hAnsi="华文仿宋" w:eastAsia="仿宋_GB2312" w:cs="华文仿宋"/>
          <w:bCs/>
          <w:color w:val="000000" w:themeColor="text1"/>
          <w:kern w:val="0"/>
          <w:sz w:val="32"/>
          <w:szCs w:val="32"/>
          <w:highlight w:val="none"/>
        </w:rPr>
        <w:t>行政事业性国有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资产管理各方面存在的问题进行梳理和自查，提出下一步推进资产管理的工作思路。</w:t>
      </w:r>
    </w:p>
    <w:p>
      <w:pPr>
        <w:ind w:firstLine="720" w:firstLineChars="225"/>
        <w:rPr>
          <w:rFonts w:ascii="黑体" w:eastAsia="黑体"/>
          <w:color w:val="000000" w:themeColor="text1"/>
          <w:sz w:val="32"/>
          <w:szCs w:val="32"/>
          <w:highlight w:val="none"/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  <w:highlight w:val="none"/>
          <w:lang w:eastAsia="zh-CN"/>
        </w:rPr>
        <w:t>六</w:t>
      </w:r>
      <w:r>
        <w:rPr>
          <w:rFonts w:hint="eastAsia" w:ascii="黑体" w:hAnsi="仿宋" w:eastAsia="黑体"/>
          <w:color w:val="000000" w:themeColor="text1"/>
          <w:sz w:val="32"/>
          <w:szCs w:val="32"/>
          <w:highlight w:val="none"/>
        </w:rPr>
        <w:t>、其他需要报告的重要事项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highlight w:val="none"/>
        </w:rPr>
        <w:t>（一）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对本部门、本地区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</w:rPr>
        <w:t>资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产损失、权属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</w:rPr>
        <w:t>不清晰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等重要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</w:rPr>
        <w:t>资产情况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以及其他重要事项进行详细分析说明。</w:t>
      </w:r>
    </w:p>
    <w:p>
      <w:pPr>
        <w:spacing w:line="360" w:lineRule="auto"/>
        <w:ind w:firstLine="640" w:firstLineChars="200"/>
        <w:rPr>
          <w:color w:val="000000" w:themeColor="text1"/>
          <w:sz w:val="32"/>
          <w:szCs w:val="32"/>
        </w:rPr>
      </w:pP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</w:rPr>
        <w:t>（二）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本部门、本地区政府储备物资、公共基础设施、文物文化资产、保障性住房数据与行业统计数据对比情况，如不一致应说明差异原因。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4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E4EF81"/>
    <w:multiLevelType w:val="singleLevel"/>
    <w:tmpl w:val="BFE4EF8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0E91A7C"/>
    <w:multiLevelType w:val="multilevel"/>
    <w:tmpl w:val="30E91A7C"/>
    <w:lvl w:ilvl="0" w:tentative="0">
      <w:start w:val="1"/>
      <w:numFmt w:val="japaneseCounting"/>
      <w:lvlText w:val="%1、"/>
      <w:lvlJc w:val="left"/>
      <w:pPr>
        <w:ind w:left="1288" w:hanging="720"/>
      </w:pPr>
      <w:rPr>
        <w:rFonts w:hint="eastAsia" w:ascii="黑体" w:hAnsi="Calibri" w:eastAsia="黑体"/>
        <w:color w:val="auto"/>
        <w:sz w:val="32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BhNjYwZmFmZTEzMzg4ZDU3OTU4Y2JlMWFiNmM2NTYifQ=="/>
  </w:docVars>
  <w:rsids>
    <w:rsidRoot w:val="00FE599C"/>
    <w:rsid w:val="00002F5F"/>
    <w:rsid w:val="00010CC2"/>
    <w:rsid w:val="000133B5"/>
    <w:rsid w:val="0001452F"/>
    <w:rsid w:val="00020726"/>
    <w:rsid w:val="000263E6"/>
    <w:rsid w:val="000315FA"/>
    <w:rsid w:val="000475E3"/>
    <w:rsid w:val="00071ECA"/>
    <w:rsid w:val="00081B26"/>
    <w:rsid w:val="00096F37"/>
    <w:rsid w:val="000A2A43"/>
    <w:rsid w:val="000C3825"/>
    <w:rsid w:val="000F294E"/>
    <w:rsid w:val="001116ED"/>
    <w:rsid w:val="00112F28"/>
    <w:rsid w:val="00130E81"/>
    <w:rsid w:val="00134B3E"/>
    <w:rsid w:val="0014437D"/>
    <w:rsid w:val="00144439"/>
    <w:rsid w:val="00144A45"/>
    <w:rsid w:val="00170F85"/>
    <w:rsid w:val="00185DBB"/>
    <w:rsid w:val="001B0B4B"/>
    <w:rsid w:val="001B1313"/>
    <w:rsid w:val="001B7D17"/>
    <w:rsid w:val="001C2856"/>
    <w:rsid w:val="001C5EFB"/>
    <w:rsid w:val="001E00AB"/>
    <w:rsid w:val="001E1624"/>
    <w:rsid w:val="001F54A3"/>
    <w:rsid w:val="001F7B3B"/>
    <w:rsid w:val="00200E75"/>
    <w:rsid w:val="00201F8E"/>
    <w:rsid w:val="00222F75"/>
    <w:rsid w:val="00244F92"/>
    <w:rsid w:val="002620BC"/>
    <w:rsid w:val="00263509"/>
    <w:rsid w:val="0027640E"/>
    <w:rsid w:val="00281DD6"/>
    <w:rsid w:val="002963AD"/>
    <w:rsid w:val="002A206B"/>
    <w:rsid w:val="002A3AC2"/>
    <w:rsid w:val="002B0DCB"/>
    <w:rsid w:val="002E292B"/>
    <w:rsid w:val="002F06BB"/>
    <w:rsid w:val="0030044B"/>
    <w:rsid w:val="003004DC"/>
    <w:rsid w:val="00301967"/>
    <w:rsid w:val="0034210A"/>
    <w:rsid w:val="00364686"/>
    <w:rsid w:val="00377900"/>
    <w:rsid w:val="003857A9"/>
    <w:rsid w:val="00385AFF"/>
    <w:rsid w:val="00386292"/>
    <w:rsid w:val="003A01AE"/>
    <w:rsid w:val="003D677C"/>
    <w:rsid w:val="003F4032"/>
    <w:rsid w:val="003F569D"/>
    <w:rsid w:val="004359F4"/>
    <w:rsid w:val="00460D4E"/>
    <w:rsid w:val="00465733"/>
    <w:rsid w:val="0047294E"/>
    <w:rsid w:val="004751F5"/>
    <w:rsid w:val="0048463A"/>
    <w:rsid w:val="00487FB2"/>
    <w:rsid w:val="004937DF"/>
    <w:rsid w:val="004A094D"/>
    <w:rsid w:val="004A24AC"/>
    <w:rsid w:val="004B1C4B"/>
    <w:rsid w:val="004B3B35"/>
    <w:rsid w:val="004B4197"/>
    <w:rsid w:val="004B6BE1"/>
    <w:rsid w:val="004B7347"/>
    <w:rsid w:val="004C0C9C"/>
    <w:rsid w:val="004C529C"/>
    <w:rsid w:val="004C55CA"/>
    <w:rsid w:val="004C672F"/>
    <w:rsid w:val="004D47C6"/>
    <w:rsid w:val="004D6137"/>
    <w:rsid w:val="004D6FD1"/>
    <w:rsid w:val="004D76DC"/>
    <w:rsid w:val="004E0B94"/>
    <w:rsid w:val="004F5D6C"/>
    <w:rsid w:val="00500031"/>
    <w:rsid w:val="00500443"/>
    <w:rsid w:val="00500BDA"/>
    <w:rsid w:val="00502C20"/>
    <w:rsid w:val="00512DD9"/>
    <w:rsid w:val="00513DC4"/>
    <w:rsid w:val="0052477F"/>
    <w:rsid w:val="00542E86"/>
    <w:rsid w:val="00550488"/>
    <w:rsid w:val="00573CD4"/>
    <w:rsid w:val="00583436"/>
    <w:rsid w:val="005900D2"/>
    <w:rsid w:val="00590D26"/>
    <w:rsid w:val="005A2678"/>
    <w:rsid w:val="005B459B"/>
    <w:rsid w:val="005C0646"/>
    <w:rsid w:val="005D1BCA"/>
    <w:rsid w:val="005D4893"/>
    <w:rsid w:val="005D4BA3"/>
    <w:rsid w:val="005F31CB"/>
    <w:rsid w:val="005F757E"/>
    <w:rsid w:val="005F79EE"/>
    <w:rsid w:val="006131AB"/>
    <w:rsid w:val="0061516F"/>
    <w:rsid w:val="006168C2"/>
    <w:rsid w:val="00622F50"/>
    <w:rsid w:val="00632B94"/>
    <w:rsid w:val="00635A94"/>
    <w:rsid w:val="00635CD2"/>
    <w:rsid w:val="00636F94"/>
    <w:rsid w:val="006506DD"/>
    <w:rsid w:val="006572AC"/>
    <w:rsid w:val="00673993"/>
    <w:rsid w:val="00675ACA"/>
    <w:rsid w:val="00683829"/>
    <w:rsid w:val="00691261"/>
    <w:rsid w:val="006942CD"/>
    <w:rsid w:val="00696948"/>
    <w:rsid w:val="006A6FBC"/>
    <w:rsid w:val="006A79E2"/>
    <w:rsid w:val="006B134B"/>
    <w:rsid w:val="006B1FA0"/>
    <w:rsid w:val="006B214A"/>
    <w:rsid w:val="006B77D1"/>
    <w:rsid w:val="006C02D2"/>
    <w:rsid w:val="006C05DE"/>
    <w:rsid w:val="006E3DC9"/>
    <w:rsid w:val="006F4F95"/>
    <w:rsid w:val="00700518"/>
    <w:rsid w:val="00705E76"/>
    <w:rsid w:val="007067D5"/>
    <w:rsid w:val="00745F35"/>
    <w:rsid w:val="00746E5A"/>
    <w:rsid w:val="00756AE5"/>
    <w:rsid w:val="00773668"/>
    <w:rsid w:val="007856E6"/>
    <w:rsid w:val="007A2646"/>
    <w:rsid w:val="007F0ACA"/>
    <w:rsid w:val="00803104"/>
    <w:rsid w:val="0081099D"/>
    <w:rsid w:val="00810AE1"/>
    <w:rsid w:val="00823341"/>
    <w:rsid w:val="00827AF1"/>
    <w:rsid w:val="0084298B"/>
    <w:rsid w:val="00847EB0"/>
    <w:rsid w:val="00852036"/>
    <w:rsid w:val="008546AC"/>
    <w:rsid w:val="00870619"/>
    <w:rsid w:val="00877543"/>
    <w:rsid w:val="0088119B"/>
    <w:rsid w:val="00884236"/>
    <w:rsid w:val="00890275"/>
    <w:rsid w:val="008A1787"/>
    <w:rsid w:val="008A68BA"/>
    <w:rsid w:val="008B0F73"/>
    <w:rsid w:val="008B4F1B"/>
    <w:rsid w:val="008C3BDB"/>
    <w:rsid w:val="008D129A"/>
    <w:rsid w:val="008E0165"/>
    <w:rsid w:val="008E2117"/>
    <w:rsid w:val="008F111A"/>
    <w:rsid w:val="00907EBC"/>
    <w:rsid w:val="009170BE"/>
    <w:rsid w:val="00925324"/>
    <w:rsid w:val="009352B5"/>
    <w:rsid w:val="00936A46"/>
    <w:rsid w:val="00941CCA"/>
    <w:rsid w:val="00942D12"/>
    <w:rsid w:val="009625C7"/>
    <w:rsid w:val="009859EC"/>
    <w:rsid w:val="009912EB"/>
    <w:rsid w:val="009917C2"/>
    <w:rsid w:val="009A1249"/>
    <w:rsid w:val="009C3901"/>
    <w:rsid w:val="009C63E2"/>
    <w:rsid w:val="009D404A"/>
    <w:rsid w:val="009D5FC2"/>
    <w:rsid w:val="009D7888"/>
    <w:rsid w:val="009E659B"/>
    <w:rsid w:val="00A06D92"/>
    <w:rsid w:val="00A15CFF"/>
    <w:rsid w:val="00A169E7"/>
    <w:rsid w:val="00A16A3C"/>
    <w:rsid w:val="00A33549"/>
    <w:rsid w:val="00A52FDF"/>
    <w:rsid w:val="00A644D9"/>
    <w:rsid w:val="00A70CC9"/>
    <w:rsid w:val="00A7588B"/>
    <w:rsid w:val="00A80804"/>
    <w:rsid w:val="00A8440F"/>
    <w:rsid w:val="00A921F6"/>
    <w:rsid w:val="00AA188C"/>
    <w:rsid w:val="00AB3508"/>
    <w:rsid w:val="00AC153A"/>
    <w:rsid w:val="00AC4566"/>
    <w:rsid w:val="00AC4B40"/>
    <w:rsid w:val="00AE6AB5"/>
    <w:rsid w:val="00AF7E6B"/>
    <w:rsid w:val="00B2583B"/>
    <w:rsid w:val="00B53EB4"/>
    <w:rsid w:val="00B679B2"/>
    <w:rsid w:val="00B71F9F"/>
    <w:rsid w:val="00BA240A"/>
    <w:rsid w:val="00BA48D8"/>
    <w:rsid w:val="00BB3452"/>
    <w:rsid w:val="00BB5C28"/>
    <w:rsid w:val="00BB7EA2"/>
    <w:rsid w:val="00BE7F14"/>
    <w:rsid w:val="00C040F1"/>
    <w:rsid w:val="00C26CDD"/>
    <w:rsid w:val="00C3107B"/>
    <w:rsid w:val="00C45D26"/>
    <w:rsid w:val="00C5171E"/>
    <w:rsid w:val="00C619E7"/>
    <w:rsid w:val="00C66229"/>
    <w:rsid w:val="00CA0BDF"/>
    <w:rsid w:val="00CA160A"/>
    <w:rsid w:val="00CC03BE"/>
    <w:rsid w:val="00CC56FD"/>
    <w:rsid w:val="00CE4C1C"/>
    <w:rsid w:val="00D04363"/>
    <w:rsid w:val="00D055FC"/>
    <w:rsid w:val="00D05EF1"/>
    <w:rsid w:val="00D10985"/>
    <w:rsid w:val="00D15F77"/>
    <w:rsid w:val="00D32D47"/>
    <w:rsid w:val="00D34FC8"/>
    <w:rsid w:val="00D41DD5"/>
    <w:rsid w:val="00D53C06"/>
    <w:rsid w:val="00D655B5"/>
    <w:rsid w:val="00D7675F"/>
    <w:rsid w:val="00D8066F"/>
    <w:rsid w:val="00D806B5"/>
    <w:rsid w:val="00D82A96"/>
    <w:rsid w:val="00D85530"/>
    <w:rsid w:val="00D85CED"/>
    <w:rsid w:val="00D953B9"/>
    <w:rsid w:val="00DA663B"/>
    <w:rsid w:val="00DB2768"/>
    <w:rsid w:val="00DC0832"/>
    <w:rsid w:val="00DC440B"/>
    <w:rsid w:val="00DC7DDA"/>
    <w:rsid w:val="00DD3A4D"/>
    <w:rsid w:val="00DE5EC9"/>
    <w:rsid w:val="00DF4953"/>
    <w:rsid w:val="00E434F0"/>
    <w:rsid w:val="00E47166"/>
    <w:rsid w:val="00E53B13"/>
    <w:rsid w:val="00E73CE2"/>
    <w:rsid w:val="00E90F26"/>
    <w:rsid w:val="00EA294F"/>
    <w:rsid w:val="00EA7EAC"/>
    <w:rsid w:val="00EB1170"/>
    <w:rsid w:val="00EB7AEC"/>
    <w:rsid w:val="00EC06EF"/>
    <w:rsid w:val="00EE06FD"/>
    <w:rsid w:val="00EE461F"/>
    <w:rsid w:val="00EF05AA"/>
    <w:rsid w:val="00EF6879"/>
    <w:rsid w:val="00F00089"/>
    <w:rsid w:val="00F0109E"/>
    <w:rsid w:val="00F03D46"/>
    <w:rsid w:val="00F06EBD"/>
    <w:rsid w:val="00F22FBE"/>
    <w:rsid w:val="00F27E14"/>
    <w:rsid w:val="00F34E0F"/>
    <w:rsid w:val="00F420D9"/>
    <w:rsid w:val="00F47837"/>
    <w:rsid w:val="00F65FC3"/>
    <w:rsid w:val="00F67AD4"/>
    <w:rsid w:val="00F7087F"/>
    <w:rsid w:val="00F867DD"/>
    <w:rsid w:val="00F91AC1"/>
    <w:rsid w:val="00F94162"/>
    <w:rsid w:val="00FD57A1"/>
    <w:rsid w:val="00FE599C"/>
    <w:rsid w:val="00FF093F"/>
    <w:rsid w:val="00FF41E1"/>
    <w:rsid w:val="01166843"/>
    <w:rsid w:val="026172AC"/>
    <w:rsid w:val="02F809E2"/>
    <w:rsid w:val="04414801"/>
    <w:rsid w:val="04523525"/>
    <w:rsid w:val="07675800"/>
    <w:rsid w:val="07950205"/>
    <w:rsid w:val="07E35189"/>
    <w:rsid w:val="09FD0375"/>
    <w:rsid w:val="0ADA18C7"/>
    <w:rsid w:val="0B64113E"/>
    <w:rsid w:val="0C7F5CD8"/>
    <w:rsid w:val="0D2E476E"/>
    <w:rsid w:val="0DF32A69"/>
    <w:rsid w:val="0E3323B2"/>
    <w:rsid w:val="0EEB22FD"/>
    <w:rsid w:val="0F1015F2"/>
    <w:rsid w:val="101A4DDE"/>
    <w:rsid w:val="116454B7"/>
    <w:rsid w:val="11CD3961"/>
    <w:rsid w:val="128D6BB4"/>
    <w:rsid w:val="13A814F8"/>
    <w:rsid w:val="142A39AA"/>
    <w:rsid w:val="14EF7718"/>
    <w:rsid w:val="16B351AB"/>
    <w:rsid w:val="18F462C3"/>
    <w:rsid w:val="1A3C22BC"/>
    <w:rsid w:val="1B5B6257"/>
    <w:rsid w:val="1C53586C"/>
    <w:rsid w:val="1D21151E"/>
    <w:rsid w:val="1DFC6D7A"/>
    <w:rsid w:val="1E1C617D"/>
    <w:rsid w:val="1E6F1EE9"/>
    <w:rsid w:val="1FD21068"/>
    <w:rsid w:val="202E39B4"/>
    <w:rsid w:val="21833BFB"/>
    <w:rsid w:val="221C015A"/>
    <w:rsid w:val="23326A25"/>
    <w:rsid w:val="250817C9"/>
    <w:rsid w:val="254FB274"/>
    <w:rsid w:val="273A4F88"/>
    <w:rsid w:val="28927C94"/>
    <w:rsid w:val="28AD067D"/>
    <w:rsid w:val="29126FE4"/>
    <w:rsid w:val="2939585B"/>
    <w:rsid w:val="2BEA21C4"/>
    <w:rsid w:val="2CB47743"/>
    <w:rsid w:val="2F3B2D5A"/>
    <w:rsid w:val="2F3E30EF"/>
    <w:rsid w:val="309853B2"/>
    <w:rsid w:val="318E3E5D"/>
    <w:rsid w:val="31902152"/>
    <w:rsid w:val="33F11027"/>
    <w:rsid w:val="35AA5BF4"/>
    <w:rsid w:val="3757083F"/>
    <w:rsid w:val="37995A57"/>
    <w:rsid w:val="389968CD"/>
    <w:rsid w:val="39196A2A"/>
    <w:rsid w:val="3B164554"/>
    <w:rsid w:val="3B774148"/>
    <w:rsid w:val="3BA2254D"/>
    <w:rsid w:val="3D771506"/>
    <w:rsid w:val="3E503F19"/>
    <w:rsid w:val="3E8A7D75"/>
    <w:rsid w:val="3ED0249C"/>
    <w:rsid w:val="3EDC88D4"/>
    <w:rsid w:val="3FBD7618"/>
    <w:rsid w:val="3FDB5FFA"/>
    <w:rsid w:val="402B654B"/>
    <w:rsid w:val="40E66DE2"/>
    <w:rsid w:val="40FA29D2"/>
    <w:rsid w:val="43797382"/>
    <w:rsid w:val="43D5363B"/>
    <w:rsid w:val="44EF4922"/>
    <w:rsid w:val="453870F5"/>
    <w:rsid w:val="45FE6F89"/>
    <w:rsid w:val="4ADF0518"/>
    <w:rsid w:val="4B7D023E"/>
    <w:rsid w:val="4D2C130A"/>
    <w:rsid w:val="4D3D1799"/>
    <w:rsid w:val="4D5212ED"/>
    <w:rsid w:val="4DAA3A47"/>
    <w:rsid w:val="4DF43C52"/>
    <w:rsid w:val="4E2F6F8F"/>
    <w:rsid w:val="4EA16C5D"/>
    <w:rsid w:val="4EDD5757"/>
    <w:rsid w:val="4F5A754C"/>
    <w:rsid w:val="51E22B95"/>
    <w:rsid w:val="52CD7DA1"/>
    <w:rsid w:val="5374454A"/>
    <w:rsid w:val="547D42C3"/>
    <w:rsid w:val="55FA1630"/>
    <w:rsid w:val="56093C42"/>
    <w:rsid w:val="57171112"/>
    <w:rsid w:val="57C40364"/>
    <w:rsid w:val="57EE044E"/>
    <w:rsid w:val="58042AEB"/>
    <w:rsid w:val="586B4198"/>
    <w:rsid w:val="588D5F4E"/>
    <w:rsid w:val="591A7469"/>
    <w:rsid w:val="59EE51F2"/>
    <w:rsid w:val="5B2610D7"/>
    <w:rsid w:val="5B8378E5"/>
    <w:rsid w:val="5C7B225B"/>
    <w:rsid w:val="5CCE5AD7"/>
    <w:rsid w:val="5E500FAC"/>
    <w:rsid w:val="5F0A365F"/>
    <w:rsid w:val="5F0A3A93"/>
    <w:rsid w:val="5F6C335A"/>
    <w:rsid w:val="5FDF3A72"/>
    <w:rsid w:val="60D251B5"/>
    <w:rsid w:val="617918C3"/>
    <w:rsid w:val="62771729"/>
    <w:rsid w:val="63DE1145"/>
    <w:rsid w:val="64432DE3"/>
    <w:rsid w:val="650B7A25"/>
    <w:rsid w:val="65936BD2"/>
    <w:rsid w:val="667051EB"/>
    <w:rsid w:val="69167732"/>
    <w:rsid w:val="6B93037E"/>
    <w:rsid w:val="6D2509E0"/>
    <w:rsid w:val="6D786448"/>
    <w:rsid w:val="6E965F42"/>
    <w:rsid w:val="71347FD6"/>
    <w:rsid w:val="7136612B"/>
    <w:rsid w:val="713C0EE7"/>
    <w:rsid w:val="72874BAE"/>
    <w:rsid w:val="73915D84"/>
    <w:rsid w:val="751C3AEB"/>
    <w:rsid w:val="760F4E8F"/>
    <w:rsid w:val="766A00BF"/>
    <w:rsid w:val="76E175D0"/>
    <w:rsid w:val="77AD5470"/>
    <w:rsid w:val="77EE0AD0"/>
    <w:rsid w:val="78841308"/>
    <w:rsid w:val="79BBD1F0"/>
    <w:rsid w:val="79BC2B12"/>
    <w:rsid w:val="79DB2AF2"/>
    <w:rsid w:val="79F4675F"/>
    <w:rsid w:val="7C5028C4"/>
    <w:rsid w:val="7C9A74B8"/>
    <w:rsid w:val="7CBD1CF1"/>
    <w:rsid w:val="7DF706BB"/>
    <w:rsid w:val="7DF8774C"/>
    <w:rsid w:val="7E7F861A"/>
    <w:rsid w:val="7EBFBB38"/>
    <w:rsid w:val="7EC951E2"/>
    <w:rsid w:val="7FDDD7DD"/>
    <w:rsid w:val="7FFD44C5"/>
    <w:rsid w:val="8A77A974"/>
    <w:rsid w:val="8AFC51AF"/>
    <w:rsid w:val="8F3F8950"/>
    <w:rsid w:val="99A74EDD"/>
    <w:rsid w:val="AD7A127F"/>
    <w:rsid w:val="AEBF2ADB"/>
    <w:rsid w:val="AF4FF015"/>
    <w:rsid w:val="AFF7144D"/>
    <w:rsid w:val="AFFA3790"/>
    <w:rsid w:val="CFEE2C12"/>
    <w:rsid w:val="D9FFACFB"/>
    <w:rsid w:val="DFEF7F0A"/>
    <w:rsid w:val="E6DBBED8"/>
    <w:rsid w:val="E6F0915C"/>
    <w:rsid w:val="F6DDE3A1"/>
    <w:rsid w:val="F78FA812"/>
    <w:rsid w:val="F7FFF892"/>
    <w:rsid w:val="FAF4666E"/>
    <w:rsid w:val="FAFF50AA"/>
    <w:rsid w:val="FBFE6E81"/>
    <w:rsid w:val="FDBB7708"/>
    <w:rsid w:val="FDFFE621"/>
    <w:rsid w:val="FED376FE"/>
    <w:rsid w:val="FF53DA80"/>
    <w:rsid w:val="FFD750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ody Text"/>
    <w:basedOn w:val="1"/>
    <w:link w:val="10"/>
    <w:qFormat/>
    <w:uiPriority w:val="0"/>
    <w:pPr>
      <w:widowControl/>
      <w:adjustRightInd w:val="0"/>
      <w:snapToGrid w:val="0"/>
      <w:spacing w:line="360" w:lineRule="auto"/>
    </w:pPr>
    <w:rPr>
      <w:rFonts w:ascii="仿宋_GB2312" w:hAnsi="宋体" w:eastAsia="仿宋_GB2312"/>
      <w:kern w:val="0"/>
      <w:sz w:val="28"/>
      <w:szCs w:val="24"/>
    </w:r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正文文本 字符"/>
    <w:link w:val="3"/>
    <w:qFormat/>
    <w:uiPriority w:val="0"/>
    <w:rPr>
      <w:rFonts w:ascii="仿宋_GB2312" w:hAnsi="宋体" w:eastAsia="仿宋_GB2312" w:cs="Times New Roman"/>
      <w:kern w:val="0"/>
      <w:sz w:val="28"/>
      <w:szCs w:val="24"/>
    </w:rPr>
  </w:style>
  <w:style w:type="character" w:customStyle="1" w:styleId="11">
    <w:name w:val="页脚 字符"/>
    <w:link w:val="5"/>
    <w:qFormat/>
    <w:uiPriority w:val="0"/>
    <w:rPr>
      <w:rFonts w:ascii="Times New Roman" w:hAnsi="Times New Roman" w:eastAsia="宋体" w:cs="Times New Roman"/>
      <w:sz w:val="18"/>
      <w:szCs w:val="20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link w:val="6"/>
    <w:qFormat/>
    <w:uiPriority w:val="99"/>
    <w:rPr>
      <w:sz w:val="18"/>
      <w:szCs w:val="18"/>
    </w:rPr>
  </w:style>
  <w:style w:type="character" w:customStyle="1" w:styleId="14">
    <w:name w:val="批注框文本 字符"/>
    <w:link w:val="4"/>
    <w:semiHidden/>
    <w:qFormat/>
    <w:uiPriority w:val="99"/>
    <w:rPr>
      <w:sz w:val="18"/>
      <w:szCs w:val="18"/>
    </w:rPr>
  </w:style>
  <w:style w:type="character" w:customStyle="1" w:styleId="15">
    <w:name w:val="批注文字 字符"/>
    <w:basedOn w:val="8"/>
    <w:link w:val="2"/>
    <w:qFormat/>
    <w:uiPriority w:val="99"/>
  </w:style>
  <w:style w:type="paragraph" w:customStyle="1" w:styleId="16">
    <w:name w:val="列出段落11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paragraph" w:customStyle="1" w:styleId="18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1079</Words>
  <Characters>1091</Characters>
  <Lines>11</Lines>
  <Paragraphs>3</Paragraphs>
  <TotalTime>0</TotalTime>
  <ScaleCrop>false</ScaleCrop>
  <LinksUpToDate>false</LinksUpToDate>
  <CharactersWithSpaces>1091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2020-09-29T02:12:00Z</dcterms:created>
  <dc:creator>lenovo</dc:creator>
  <cp:lastModifiedBy>zhangzh</cp:lastModifiedBy>
  <cp:lastPrinted>2022-01-16T01:13:00Z</cp:lastPrinted>
  <dcterms:modified xsi:type="dcterms:W3CDTF">2023-01-16T18:50:30Z</dcterms:modified>
  <dc:title>附件3：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32CCAB4DF7AB4F9CB9CECF24A67036C0</vt:lpwstr>
  </property>
</Properties>
</file>